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5972" w14:textId="7D34475A" w:rsidR="005C2173" w:rsidRPr="00A3409D" w:rsidRDefault="00FB6797" w:rsidP="00A3409D">
      <w:pPr>
        <w:pStyle w:val="Heading1"/>
      </w:pPr>
      <w:r w:rsidRPr="00FB6797">
        <w:t>Australian Qualifications Framework (AQF) Level 7 Vocational Degree</w:t>
      </w:r>
    </w:p>
    <w:p w14:paraId="56BA5601" w14:textId="2553E3AF" w:rsidR="00D67506" w:rsidRPr="00474F06" w:rsidRDefault="008049BA" w:rsidP="00D67506">
      <w:pPr>
        <w:rPr>
          <w:rFonts w:eastAsiaTheme="majorEastAsia" w:cstheme="majorBidi"/>
          <w:b/>
          <w:iCs/>
          <w:color w:val="04616B"/>
          <w:sz w:val="36"/>
        </w:rPr>
      </w:pPr>
      <w:r>
        <w:rPr>
          <w:rFonts w:eastAsiaTheme="majorEastAsia" w:cstheme="majorBidi"/>
          <w:b/>
          <w:iCs/>
          <w:color w:val="04616B"/>
          <w:sz w:val="36"/>
        </w:rPr>
        <w:t>January 2026 w</w:t>
      </w:r>
      <w:r w:rsidR="00D67506" w:rsidRPr="00474F06">
        <w:rPr>
          <w:rFonts w:eastAsiaTheme="majorEastAsia" w:cstheme="majorBidi"/>
          <w:b/>
          <w:iCs/>
          <w:color w:val="04616B"/>
          <w:sz w:val="36"/>
        </w:rPr>
        <w:t>ebinar questions and answers</w:t>
      </w:r>
    </w:p>
    <w:p w14:paraId="739CB9ED" w14:textId="77777777" w:rsidR="00A3409D" w:rsidRPr="00A3409D" w:rsidRDefault="00A3409D" w:rsidP="00A3409D">
      <w:pPr>
        <w:spacing w:after="0"/>
      </w:pPr>
    </w:p>
    <w:p w14:paraId="3E9AF0E0" w14:textId="4D3134FD" w:rsidR="0076612F" w:rsidRPr="00474F06" w:rsidRDefault="0076612F" w:rsidP="0076612F">
      <w:pPr>
        <w:rPr>
          <w:rFonts w:eastAsiaTheme="majorEastAsia" w:cstheme="majorBidi"/>
          <w:b/>
          <w:color w:val="2A194C"/>
          <w:sz w:val="32"/>
        </w:rPr>
      </w:pPr>
      <w:r w:rsidRPr="00474F06">
        <w:rPr>
          <w:rFonts w:eastAsiaTheme="majorEastAsia" w:cstheme="majorBidi"/>
          <w:b/>
          <w:color w:val="2A194C"/>
          <w:sz w:val="32"/>
        </w:rPr>
        <w:t xml:space="preserve">Q1. Industrially, what award(s) will this </w:t>
      </w:r>
      <w:r w:rsidR="006B3ABA">
        <w:rPr>
          <w:rFonts w:eastAsiaTheme="majorEastAsia" w:cstheme="majorBidi"/>
          <w:b/>
          <w:color w:val="2A194C"/>
          <w:sz w:val="32"/>
        </w:rPr>
        <w:t xml:space="preserve">qualification </w:t>
      </w:r>
      <w:r w:rsidRPr="00474F06">
        <w:rPr>
          <w:rFonts w:eastAsiaTheme="majorEastAsia" w:cstheme="majorBidi"/>
          <w:b/>
          <w:color w:val="2A194C"/>
          <w:sz w:val="32"/>
        </w:rPr>
        <w:t>be included in, and where will it fit within those award structures?</w:t>
      </w:r>
    </w:p>
    <w:p w14:paraId="2058A911" w14:textId="77777777" w:rsidR="00681B8B" w:rsidRPr="00681B8B" w:rsidRDefault="00681B8B" w:rsidP="00681B8B">
      <w:r w:rsidRPr="00681B8B">
        <w:rPr>
          <w:b/>
          <w:bCs/>
        </w:rPr>
        <w:t>A.</w:t>
      </w:r>
      <w:r w:rsidRPr="00681B8B">
        <w:t xml:space="preserve"> Award placement is still to be finalised. Phase 2 recommends a nationally coordinated industrial relations consultation process to determine where the qualification fits. Early testing suggests it can be accommodated within existing awards and enterprise agreements.</w:t>
      </w:r>
    </w:p>
    <w:p w14:paraId="045AB78A" w14:textId="717934AD" w:rsidR="00681B8B" w:rsidRPr="00681B8B" w:rsidRDefault="00681B8B" w:rsidP="00681B8B">
      <w:r w:rsidRPr="00681B8B">
        <w:t>For full details, see the Industrial Relations Considerations section of the</w:t>
      </w:r>
      <w:r w:rsidR="006B3ABA">
        <w:t xml:space="preserve"> </w:t>
      </w:r>
      <w:r w:rsidR="006B3ABA" w:rsidRPr="006B3ABA">
        <w:t>Vocational Degree Phase 2 final report</w:t>
      </w:r>
      <w:r w:rsidR="000D1B19">
        <w:t xml:space="preserve"> or the </w:t>
      </w:r>
      <w:hyperlink r:id="rId11" w:history="1">
        <w:r w:rsidR="000D1B19" w:rsidRPr="000D1B19">
          <w:rPr>
            <w:rStyle w:val="Hyperlink"/>
          </w:rPr>
          <w:t>report excerpts</w:t>
        </w:r>
      </w:hyperlink>
      <w:r w:rsidRPr="00681B8B">
        <w:t xml:space="preserve">. </w:t>
      </w:r>
    </w:p>
    <w:p w14:paraId="0900063B" w14:textId="77777777" w:rsidR="000375CE" w:rsidRPr="00474F06" w:rsidRDefault="000375CE" w:rsidP="000375CE">
      <w:pPr>
        <w:rPr>
          <w:rFonts w:eastAsiaTheme="majorEastAsia" w:cstheme="majorBidi"/>
          <w:b/>
          <w:color w:val="2A194C"/>
          <w:sz w:val="32"/>
        </w:rPr>
      </w:pPr>
      <w:r w:rsidRPr="00474F06">
        <w:rPr>
          <w:rFonts w:eastAsiaTheme="majorEastAsia" w:cstheme="majorBidi"/>
          <w:b/>
          <w:color w:val="2A194C"/>
          <w:sz w:val="32"/>
        </w:rPr>
        <w:t xml:space="preserve">Q2. If there are no prerequisites and someone from Year 12 can enrol in this </w:t>
      </w:r>
      <w:r>
        <w:rPr>
          <w:rFonts w:eastAsiaTheme="majorEastAsia" w:cstheme="majorBidi"/>
          <w:b/>
          <w:color w:val="2A194C"/>
          <w:sz w:val="32"/>
        </w:rPr>
        <w:t>3</w:t>
      </w:r>
      <w:r w:rsidRPr="00474F06">
        <w:rPr>
          <w:rFonts w:ascii="Cambria Math" w:eastAsiaTheme="majorEastAsia" w:hAnsi="Cambria Math" w:cs="Cambria Math"/>
          <w:b/>
          <w:color w:val="2A194C"/>
          <w:sz w:val="32"/>
        </w:rPr>
        <w:t>‑</w:t>
      </w:r>
      <w:r w:rsidRPr="00474F06">
        <w:rPr>
          <w:rFonts w:eastAsiaTheme="majorEastAsia" w:cstheme="majorBidi"/>
          <w:b/>
          <w:color w:val="2A194C"/>
          <w:sz w:val="32"/>
        </w:rPr>
        <w:t xml:space="preserve">year course, is Recognition of Prior Learning (RPL) available for people with many years of experience and for people who hold diplomas or tertiary qualifications in engineering? </w:t>
      </w:r>
    </w:p>
    <w:p w14:paraId="14538218" w14:textId="11A80BB9" w:rsidR="00110EC8" w:rsidRPr="00110EC8" w:rsidRDefault="00110EC8" w:rsidP="00110EC8">
      <w:r w:rsidRPr="00110EC8">
        <w:rPr>
          <w:b/>
          <w:bCs/>
        </w:rPr>
        <w:t>A.</w:t>
      </w:r>
      <w:r w:rsidRPr="00110EC8">
        <w:t xml:space="preserve"> </w:t>
      </w:r>
      <w:r w:rsidR="009B5D9E">
        <w:t>Yes, e</w:t>
      </w:r>
      <w:r w:rsidRPr="00110EC8">
        <w:t xml:space="preserve">ntry into the vocational degree is designed to be flexible. The model supports RPL where needed. It is intended to accommodate experienced workers, school leavers, and people with relevant diploma or higher education backgrounds.  </w:t>
      </w:r>
    </w:p>
    <w:p w14:paraId="62B2819F" w14:textId="77777777" w:rsidR="00110EC8" w:rsidRPr="00110EC8" w:rsidRDefault="00110EC8" w:rsidP="00110EC8">
      <w:r w:rsidRPr="00110EC8">
        <w:t xml:space="preserve">For full details, see the RPL section of the final report. </w:t>
      </w:r>
    </w:p>
    <w:p w14:paraId="663EF0C3" w14:textId="77777777" w:rsidR="007E72E9" w:rsidRPr="00474F06" w:rsidRDefault="007E72E9" w:rsidP="007E72E9">
      <w:pPr>
        <w:rPr>
          <w:rFonts w:eastAsiaTheme="majorEastAsia" w:cstheme="majorBidi"/>
          <w:b/>
          <w:color w:val="2A194C"/>
          <w:sz w:val="32"/>
        </w:rPr>
      </w:pPr>
      <w:r w:rsidRPr="00474F06">
        <w:rPr>
          <w:rFonts w:eastAsiaTheme="majorEastAsia" w:cstheme="majorBidi"/>
          <w:b/>
          <w:color w:val="2A194C"/>
          <w:sz w:val="32"/>
        </w:rPr>
        <w:t xml:space="preserve">Q3. Will the training arrangement be like an apprenticeship? </w:t>
      </w:r>
    </w:p>
    <w:p w14:paraId="4C7BC92E" w14:textId="4315C29C" w:rsidR="00B6423A" w:rsidRPr="00B6423A" w:rsidRDefault="675034B7" w:rsidP="00B6423A">
      <w:r w:rsidRPr="36AC87BD">
        <w:rPr>
          <w:b/>
          <w:bCs/>
        </w:rPr>
        <w:t>A.</w:t>
      </w:r>
      <w:r>
        <w:t xml:space="preserve"> The delivery model is currently unknown</w:t>
      </w:r>
      <w:r w:rsidR="2D58DF6B">
        <w:t xml:space="preserve"> </w:t>
      </w:r>
      <w:r>
        <w:t xml:space="preserve">and will take shape throughout </w:t>
      </w:r>
      <w:r w:rsidR="0088637C">
        <w:t>P</w:t>
      </w:r>
      <w:r>
        <w:t xml:space="preserve">hase 3. An apprenticeship-like employment model is one of the delivery methods that has been explored. The training focus remains in the workplace with specialist practical skills at the forefront of a vocational degree and structured Work Integrated Learning (WIL) as an essential element. The design also allows for flexible delivery arrangements and patterns suitable for Fly-in Fly-out and shift-based workforces. </w:t>
      </w:r>
    </w:p>
    <w:p w14:paraId="43E1C127" w14:textId="77777777" w:rsidR="00B6423A" w:rsidRPr="00B6423A" w:rsidRDefault="00B6423A" w:rsidP="00B6423A">
      <w:r w:rsidRPr="00B6423A">
        <w:t xml:space="preserve">For full details, see the WIL section of the final report. </w:t>
      </w:r>
    </w:p>
    <w:p w14:paraId="31EBF8F3" w14:textId="784D5159" w:rsidR="00812FFD" w:rsidRPr="00474F06" w:rsidRDefault="00812FFD" w:rsidP="00812FFD">
      <w:pPr>
        <w:rPr>
          <w:rFonts w:eastAsiaTheme="majorEastAsia" w:cstheme="majorBidi"/>
          <w:b/>
          <w:color w:val="2A194C"/>
          <w:sz w:val="32"/>
        </w:rPr>
      </w:pPr>
      <w:r w:rsidRPr="00474F06">
        <w:rPr>
          <w:rFonts w:eastAsiaTheme="majorEastAsia" w:cstheme="majorBidi"/>
          <w:b/>
          <w:color w:val="2A194C"/>
          <w:sz w:val="32"/>
        </w:rPr>
        <w:t>Q4. Trades at AQF</w:t>
      </w:r>
      <w:r w:rsidR="0088637C">
        <w:rPr>
          <w:rFonts w:eastAsiaTheme="majorEastAsia" w:cstheme="majorBidi"/>
          <w:b/>
          <w:color w:val="2A194C"/>
          <w:sz w:val="32"/>
        </w:rPr>
        <w:t xml:space="preserve"> </w:t>
      </w:r>
      <w:r w:rsidR="00F94BB0">
        <w:rPr>
          <w:rFonts w:eastAsiaTheme="majorEastAsia" w:cstheme="majorBidi"/>
          <w:b/>
          <w:color w:val="2A194C"/>
          <w:sz w:val="32"/>
        </w:rPr>
        <w:t>Levels 3 and 4</w:t>
      </w:r>
      <w:r w:rsidRPr="00474F06">
        <w:rPr>
          <w:rFonts w:eastAsiaTheme="majorEastAsia" w:cstheme="majorBidi"/>
          <w:b/>
          <w:color w:val="EE0000"/>
          <w:sz w:val="32"/>
        </w:rPr>
        <w:t xml:space="preserve"> </w:t>
      </w:r>
      <w:r w:rsidRPr="00474F06">
        <w:rPr>
          <w:rFonts w:eastAsiaTheme="majorEastAsia" w:cstheme="majorBidi"/>
          <w:b/>
          <w:color w:val="2A194C"/>
          <w:sz w:val="32"/>
        </w:rPr>
        <w:t xml:space="preserve">can take 4 years – how can AQF 7 be 3 years? </w:t>
      </w:r>
    </w:p>
    <w:p w14:paraId="44BA56A6" w14:textId="71D26FD0" w:rsidR="00812FFD" w:rsidRPr="00F82E0D" w:rsidRDefault="00812FFD" w:rsidP="00812FFD">
      <w:r w:rsidRPr="00F82E0D">
        <w:rPr>
          <w:b/>
          <w:bCs/>
        </w:rPr>
        <w:t>A.</w:t>
      </w:r>
      <w:r w:rsidRPr="00F82E0D">
        <w:t xml:space="preserve"> Trade apprenticeships and an AQF 7 vocational degree are designed for different outcomes and delivery models. The vocational degree is proposed as a 3-year program that combines provider-</w:t>
      </w:r>
      <w:r w:rsidRPr="00F82E0D">
        <w:lastRenderedPageBreak/>
        <w:t xml:space="preserve">based learning with structured workplace learning to build applied professional capability at AQF 7, rather than replicating apprenticeship timeframes at AQF </w:t>
      </w:r>
      <w:r w:rsidR="0080687D">
        <w:t>Levels 3 and 4</w:t>
      </w:r>
      <w:r w:rsidRPr="00F82E0D">
        <w:t xml:space="preserve">. </w:t>
      </w:r>
    </w:p>
    <w:p w14:paraId="3B9AE603" w14:textId="77777777" w:rsidR="00812FFD" w:rsidRPr="00F82E0D" w:rsidRDefault="00812FFD" w:rsidP="00812FFD">
      <w:r w:rsidRPr="00F82E0D">
        <w:t xml:space="preserve">For full details, see the Graduate Outcomes and Qualification Structure section of the final report. </w:t>
      </w:r>
    </w:p>
    <w:p w14:paraId="14A26FD5" w14:textId="77777777"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 xml:space="preserve">Q5. Will the learnings flow back into the university sector? </w:t>
      </w:r>
    </w:p>
    <w:p w14:paraId="36A90C4E" w14:textId="3EAAF0F4" w:rsidR="00F82E0D" w:rsidRPr="00F82E0D" w:rsidRDefault="00F82E0D" w:rsidP="00F82E0D">
      <w:r w:rsidRPr="00F82E0D">
        <w:rPr>
          <w:b/>
          <w:bCs/>
          <w:color w:val="2A194C"/>
        </w:rPr>
        <w:t>A</w:t>
      </w:r>
      <w:r w:rsidRPr="00F82E0D">
        <w:rPr>
          <w:b/>
          <w:bCs/>
        </w:rPr>
        <w:t>.</w:t>
      </w:r>
      <w:r w:rsidRPr="00F82E0D">
        <w:t xml:space="preserve"> The vocational degree has been designed to work in partnership with higher education rather than in opposition to it. Early discussions with higher education providers indicate strong interest in recognising vocational degree units as credit towards relevant undergraduate programs and meeting entry requirements for postgraduate qualifications</w:t>
      </w:r>
      <w:r w:rsidR="005C0EB5">
        <w:t xml:space="preserve">. This </w:t>
      </w:r>
      <w:r w:rsidRPr="00F82E0D">
        <w:t>includ</w:t>
      </w:r>
      <w:r w:rsidR="00AD16DA">
        <w:t>es</w:t>
      </w:r>
      <w:r w:rsidRPr="00F82E0D">
        <w:t xml:space="preserve"> graduate certificates, graduate diplomas and master's programs in areas such as asset management, applied engineering and reliability engineering. There is also interest in enabling reverse credit, where completed AQF Level 7 higher education units may be recognised as electives within the vocational degree, allowing learners to transition between sectors without unnecessary duplication. </w:t>
      </w:r>
    </w:p>
    <w:p w14:paraId="0E49E295" w14:textId="77777777" w:rsidR="00F82E0D" w:rsidRPr="00F82E0D" w:rsidRDefault="00F82E0D" w:rsidP="00F82E0D">
      <w:r w:rsidRPr="00F82E0D">
        <w:t xml:space="preserve">For full details, see the Pathways into the Vocational Degree section of the final report.  </w:t>
      </w:r>
    </w:p>
    <w:p w14:paraId="4386243A" w14:textId="77777777"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 xml:space="preserve">Q6. Can you make a draft version of the report available? </w:t>
      </w:r>
    </w:p>
    <w:p w14:paraId="0C28A475" w14:textId="10C7231A" w:rsidR="00F82E0D" w:rsidRPr="00F82E0D" w:rsidRDefault="00F82E0D" w:rsidP="00F82E0D">
      <w:r w:rsidRPr="00F82E0D">
        <w:rPr>
          <w:b/>
          <w:bCs/>
        </w:rPr>
        <w:t>A.</w:t>
      </w:r>
      <w:r w:rsidRPr="00F82E0D">
        <w:t xml:space="preserve"> The </w:t>
      </w:r>
      <w:r w:rsidR="000F4FA6">
        <w:t>P</w:t>
      </w:r>
      <w:r w:rsidRPr="00F82E0D">
        <w:t xml:space="preserve">hase 2 report excerpts and appendices have been released on the website.  </w:t>
      </w:r>
    </w:p>
    <w:p w14:paraId="0E39D8C0" w14:textId="16EE0F38"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Q7. With respect to the assessment/assessor competencies, do you have a mapping of the assessor competencies from the previous phases, or are you anticipating the education provider develop</w:t>
      </w:r>
      <w:r w:rsidR="002415E1">
        <w:rPr>
          <w:rFonts w:eastAsiaTheme="majorEastAsia" w:cstheme="majorBidi"/>
          <w:b/>
          <w:color w:val="2A194C"/>
          <w:sz w:val="32"/>
        </w:rPr>
        <w:t>s</w:t>
      </w:r>
      <w:r w:rsidRPr="00474F06">
        <w:rPr>
          <w:rFonts w:eastAsiaTheme="majorEastAsia" w:cstheme="majorBidi"/>
          <w:b/>
          <w:color w:val="2A194C"/>
          <w:sz w:val="32"/>
        </w:rPr>
        <w:t xml:space="preserve"> this? </w:t>
      </w:r>
    </w:p>
    <w:p w14:paraId="5C3CF2B9" w14:textId="2637CC95" w:rsidR="00F82E0D" w:rsidRPr="00F82E0D" w:rsidRDefault="00F82E0D" w:rsidP="00F82E0D">
      <w:r w:rsidRPr="00F82E0D">
        <w:rPr>
          <w:b/>
          <w:bCs/>
        </w:rPr>
        <w:t>A.</w:t>
      </w:r>
      <w:r w:rsidRPr="00F82E0D">
        <w:t xml:space="preserve"> Feasibility planning (detailed in </w:t>
      </w:r>
      <w:r w:rsidR="000F4FA6">
        <w:t>P</w:t>
      </w:r>
      <w:r w:rsidRPr="00F82E0D">
        <w:t>hase 2) for staffing focuses on identifying the capability requirements and system supports needed to enable providers to deliver the Vocational Degree in Reliability Engineering. The qualification will operate within the established purpose and regulatory environment of the VET sector, where trainers and assessors are expected to demonstrate current industry knowledge and skill, vocational competence and the pedagogical capability required under the regulatory standards</w:t>
      </w:r>
      <w:r w:rsidR="000146B3">
        <w:t>.</w:t>
      </w:r>
    </w:p>
    <w:p w14:paraId="29388D28" w14:textId="77777777" w:rsidR="00F82E0D" w:rsidRPr="00F82E0D" w:rsidRDefault="00F82E0D" w:rsidP="00F82E0D">
      <w:r w:rsidRPr="00F82E0D">
        <w:t xml:space="preserve">For full details, see the Staff and Technical Expertise section of the final report. </w:t>
      </w:r>
    </w:p>
    <w:p w14:paraId="798C0B39" w14:textId="77777777" w:rsidR="00F82E0D" w:rsidRDefault="00F82E0D" w:rsidP="00F82E0D">
      <w:pPr>
        <w:rPr>
          <w:b/>
          <w:bCs/>
          <w:color w:val="2A194C"/>
        </w:rPr>
      </w:pPr>
      <w:r w:rsidRPr="00474F06">
        <w:rPr>
          <w:rFonts w:eastAsiaTheme="majorEastAsia" w:cstheme="majorBidi"/>
          <w:b/>
          <w:color w:val="2A194C"/>
          <w:sz w:val="32"/>
        </w:rPr>
        <w:t>Q8. Why was mining selected first when every automotive (car, truck, motorcycle)</w:t>
      </w:r>
      <w:r w:rsidRPr="00313831">
        <w:rPr>
          <w:b/>
          <w:bCs/>
          <w:color w:val="2A194C"/>
        </w:rPr>
        <w:t xml:space="preserve"> </w:t>
      </w:r>
      <w:r w:rsidRPr="00474F06">
        <w:rPr>
          <w:rFonts w:eastAsiaTheme="majorEastAsia" w:cstheme="majorBidi"/>
          <w:b/>
          <w:color w:val="2A194C"/>
          <w:sz w:val="32"/>
        </w:rPr>
        <w:t>dealership has a Service Manager, who seems larger in volume, and who was represented in the selection process?</w:t>
      </w:r>
      <w:r w:rsidRPr="00313831">
        <w:rPr>
          <w:b/>
          <w:bCs/>
          <w:color w:val="2A194C"/>
        </w:rPr>
        <w:t xml:space="preserve"> </w:t>
      </w:r>
    </w:p>
    <w:p w14:paraId="0C9785CB" w14:textId="36BB1F2D" w:rsidR="00F82E0D" w:rsidRPr="00F82E0D" w:rsidRDefault="00F82E0D" w:rsidP="00F82E0D">
      <w:r w:rsidRPr="00F82E0D">
        <w:rPr>
          <w:b/>
          <w:bCs/>
        </w:rPr>
        <w:t>A.</w:t>
      </w:r>
      <w:r w:rsidRPr="00F82E0D">
        <w:t xml:space="preserve"> An environmental scan and extensive research were undertaken across both the mining and automotive sectors, along with extensive stakeholder consultation throughout the feasibility </w:t>
      </w:r>
      <w:r w:rsidR="002E5BD4">
        <w:t>P</w:t>
      </w:r>
      <w:r w:rsidRPr="00F82E0D">
        <w:t xml:space="preserve">hase 1 of the vocational degree. The findings informed the role upon which the initial launch of the vocational degree would be undertaken. For further details, we invite you to view the opportunity and feasibility analysis undertaken in </w:t>
      </w:r>
      <w:r w:rsidR="002E5BD4">
        <w:t>P</w:t>
      </w:r>
      <w:r w:rsidRPr="00F82E0D">
        <w:t xml:space="preserve">hase 1, which is included on the Mining and Automotive Skills Authority (AUSMASA) website. This question was also revisited throughout the information </w:t>
      </w:r>
      <w:r w:rsidRPr="00F82E0D">
        <w:lastRenderedPageBreak/>
        <w:t xml:space="preserve">session, which provided a list of both mining and automotive occupations, refined during the analysis process. </w:t>
      </w:r>
    </w:p>
    <w:p w14:paraId="2BF4686E" w14:textId="4D641558" w:rsidR="00F82E0D" w:rsidRPr="00F82E0D" w:rsidRDefault="00F82E0D" w:rsidP="00F82E0D">
      <w:r w:rsidRPr="00F82E0D">
        <w:t xml:space="preserve">For further details, please see the </w:t>
      </w:r>
      <w:r w:rsidR="00A718C7">
        <w:t>P</w:t>
      </w:r>
      <w:r w:rsidRPr="00F82E0D">
        <w:t xml:space="preserve">hase 1 excerpts and the presentation recording. </w:t>
      </w:r>
    </w:p>
    <w:p w14:paraId="5A5719D4" w14:textId="77777777" w:rsidR="00F82E0D" w:rsidRPr="00F82E0D" w:rsidRDefault="00F82E0D" w:rsidP="00F82E0D">
      <w:r w:rsidRPr="00F82E0D">
        <w:t xml:space="preserve">Also see Executive Summary – Confirmation of Discipline Focus: The Reliability and Testing Engineer section of the final report. </w:t>
      </w:r>
    </w:p>
    <w:p w14:paraId="5A86B9FF" w14:textId="77777777" w:rsidR="00F82E0D" w:rsidRPr="00474F06" w:rsidRDefault="00F82E0D" w:rsidP="00F82E0D">
      <w:pPr>
        <w:rPr>
          <w:rFonts w:eastAsiaTheme="majorEastAsia" w:cstheme="majorBidi"/>
          <w:b/>
          <w:color w:val="2A194C"/>
          <w:sz w:val="32"/>
        </w:rPr>
      </w:pPr>
      <w:r w:rsidRPr="00F82E0D">
        <w:rPr>
          <w:rFonts w:eastAsiaTheme="majorEastAsia" w:cstheme="majorBidi"/>
          <w:b/>
          <w:color w:val="2A194C"/>
          <w:sz w:val="32"/>
        </w:rPr>
        <w:t>Q9. How will entry and exit pathways work</w:t>
      </w:r>
      <w:r w:rsidRPr="00474F06">
        <w:rPr>
          <w:rFonts w:eastAsiaTheme="majorEastAsia" w:cstheme="majorBidi"/>
          <w:b/>
          <w:color w:val="2A194C"/>
          <w:sz w:val="32"/>
        </w:rPr>
        <w:t xml:space="preserve">? </w:t>
      </w:r>
    </w:p>
    <w:p w14:paraId="7D9A5F9F" w14:textId="77777777" w:rsidR="00F82E0D" w:rsidRPr="00F82E0D" w:rsidRDefault="00F82E0D" w:rsidP="00F82E0D">
      <w:r w:rsidRPr="00F82E0D">
        <w:rPr>
          <w:b/>
          <w:bCs/>
        </w:rPr>
        <w:t>A.</w:t>
      </w:r>
      <w:r w:rsidRPr="00F82E0D">
        <w:t xml:space="preserve"> The vocational degree report recommends flexible pathways for a wide range of learners, including trade</w:t>
      </w:r>
      <w:r w:rsidRPr="00F82E0D">
        <w:rPr>
          <w:rFonts w:ascii="Cambria Math" w:hAnsi="Cambria Math" w:cs="Cambria Math"/>
        </w:rPr>
        <w:t>‑</w:t>
      </w:r>
      <w:r w:rsidRPr="00F82E0D">
        <w:t>qualified workers, technical officers, school leavers and mid</w:t>
      </w:r>
      <w:r w:rsidRPr="00F82E0D">
        <w:rPr>
          <w:rFonts w:ascii="Cambria Math" w:hAnsi="Cambria Math" w:cs="Cambria Math"/>
        </w:rPr>
        <w:t>‑</w:t>
      </w:r>
      <w:r w:rsidRPr="00F82E0D">
        <w:t xml:space="preserve">career employees. The report recommends that entry be supported by RPL, foundation skills, and culturally safe transition arrangements so that learners can commence at an appropriate point and succeed at AQF Level 7. </w:t>
      </w:r>
    </w:p>
    <w:p w14:paraId="26535DDC" w14:textId="77777777" w:rsidR="00F82E0D" w:rsidRPr="00F82E0D" w:rsidRDefault="00F82E0D" w:rsidP="00F82E0D">
      <w:r w:rsidRPr="00F82E0D">
        <w:t>The report also recommended that learners who do not complete the full degree can leave with a statement of attainment, and graduates who complete the qualification can progress into applied professional roles and may articulate to higher</w:t>
      </w:r>
      <w:r w:rsidRPr="00F82E0D">
        <w:rPr>
          <w:rFonts w:ascii="Cambria Math" w:hAnsi="Cambria Math" w:cs="Cambria Math"/>
        </w:rPr>
        <w:t>‑</w:t>
      </w:r>
      <w:r w:rsidRPr="00F82E0D">
        <w:t xml:space="preserve">education study (e.g. bachelor's honours or postgraduate programs), subject to provider recognition.  </w:t>
      </w:r>
    </w:p>
    <w:p w14:paraId="67448794" w14:textId="77777777" w:rsidR="00F82E0D" w:rsidRPr="00F82E0D" w:rsidRDefault="00F82E0D" w:rsidP="00F82E0D">
      <w:r w:rsidRPr="00F82E0D">
        <w:t xml:space="preserve">For full details, see the Employment and Education Pathways section of the final report. </w:t>
      </w:r>
    </w:p>
    <w:p w14:paraId="4B121D9E" w14:textId="77777777"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 xml:space="preserve">Q10. You said 50% will be WIL – what does that look like? </w:t>
      </w:r>
    </w:p>
    <w:p w14:paraId="110722F9" w14:textId="77777777" w:rsidR="00F82E0D" w:rsidRPr="00F82E0D" w:rsidRDefault="00F82E0D" w:rsidP="00F82E0D">
      <w:r w:rsidRPr="00F82E0D">
        <w:rPr>
          <w:b/>
          <w:bCs/>
        </w:rPr>
        <w:t>A.</w:t>
      </w:r>
      <w:r w:rsidRPr="00F82E0D">
        <w:t xml:space="preserve"> WIL is a planned, structured part of the degree in which learners build capability through real-world tasks under proper supervision and assessment. Consultation and initial implementation guidelines have detailed that it should be staged over 3 years: starting with workplace exposure and readiness, moving to supervised reliability tasks, and ending with more independent workplace projects. </w:t>
      </w:r>
    </w:p>
    <w:p w14:paraId="59D56580" w14:textId="77777777" w:rsidR="00F82E0D" w:rsidRPr="00F82E0D" w:rsidRDefault="00F82E0D" w:rsidP="00F82E0D">
      <w:r w:rsidRPr="00F82E0D">
        <w:t xml:space="preserve">The report sets a baseline of at least one-third of total program time (≥30%) for WIL.  </w:t>
      </w:r>
    </w:p>
    <w:p w14:paraId="6AA3BE6F" w14:textId="77777777" w:rsidR="00F82E0D" w:rsidRPr="00F82E0D" w:rsidRDefault="00F82E0D" w:rsidP="00F82E0D">
      <w:r w:rsidRPr="00F82E0D">
        <w:t xml:space="preserve">For full details, see the Work Integrated Learning section of the final report and Appendix 8 – WIL Guidelines. </w:t>
      </w:r>
    </w:p>
    <w:p w14:paraId="26CD877C" w14:textId="77777777"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 xml:space="preserve">Q11. Will there be set entry requirements for the vocational degree, such as needing a prior AQF qualification or technical experience, or is it possible that learners, including school leavers, could enter without a previous technical background? </w:t>
      </w:r>
    </w:p>
    <w:p w14:paraId="35D36DC0" w14:textId="2362D4FE" w:rsidR="00F82E0D" w:rsidRPr="00F82E0D" w:rsidRDefault="00F82E0D" w:rsidP="00F82E0D">
      <w:r w:rsidRPr="00F82E0D">
        <w:rPr>
          <w:b/>
          <w:bCs/>
        </w:rPr>
        <w:t>A.</w:t>
      </w:r>
      <w:r w:rsidRPr="00F82E0D">
        <w:t xml:space="preserve"> Entry pathways for the vocational degree are being designed in Phase 3. The findings from </w:t>
      </w:r>
      <w:r w:rsidR="00A718C7">
        <w:t>P</w:t>
      </w:r>
      <w:r w:rsidRPr="00F82E0D">
        <w:t xml:space="preserve">hase 2 are detailed in the report and recommend principles to guide this work, including the need for flexible entry conditions, bridging support, and RPL for people with existing industry experience.  </w:t>
      </w:r>
    </w:p>
    <w:p w14:paraId="0B262017" w14:textId="77777777" w:rsidR="00F82E0D" w:rsidRPr="00F82E0D" w:rsidRDefault="00F82E0D" w:rsidP="00F82E0D">
      <w:r w:rsidRPr="00F82E0D">
        <w:t xml:space="preserve">For further details, see the Design Principles section of the final report.  </w:t>
      </w:r>
    </w:p>
    <w:p w14:paraId="50A9D4D1" w14:textId="77777777"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 xml:space="preserve">Q12. Do other skills councils already have AQF 7 Units of Competency? </w:t>
      </w:r>
    </w:p>
    <w:p w14:paraId="1E563430" w14:textId="77777777" w:rsidR="00F82E0D" w:rsidRPr="00F82E0D" w:rsidRDefault="00F82E0D" w:rsidP="00F82E0D">
      <w:r w:rsidRPr="00F82E0D">
        <w:rPr>
          <w:b/>
          <w:bCs/>
        </w:rPr>
        <w:t>A.</w:t>
      </w:r>
      <w:r w:rsidRPr="00F82E0D">
        <w:t xml:space="preserve"> Developing AQF Level 7 Units of Competency within the VET system is a significant new development. Currently, no other Jobs and Skills Council has developed AQF 7 units. </w:t>
      </w:r>
    </w:p>
    <w:p w14:paraId="6C1CDC3E" w14:textId="77777777"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lastRenderedPageBreak/>
        <w:t xml:space="preserve">Q13. Do Australian Skills Quality Authority and AUSMASA have experience developing AQF 7 units? </w:t>
      </w:r>
    </w:p>
    <w:p w14:paraId="2A3A2951" w14:textId="77777777" w:rsidR="00F82E0D" w:rsidRPr="00F82E0D" w:rsidRDefault="00F82E0D" w:rsidP="00F82E0D">
      <w:r w:rsidRPr="00F82E0D">
        <w:t xml:space="preserve">The Phase 2 report explains that the detailed AQF Level 7 Units of Competency will be developed in Phase 3. AUSMASA is currently undertaking a tender process for a consultant with extensive experience and specialist skills and knowledge in the development of quality AQF7 Units of Competency to partner with us throughout this project.  </w:t>
      </w:r>
    </w:p>
    <w:p w14:paraId="144FC665" w14:textId="77777777" w:rsidR="00F82E0D" w:rsidRPr="00F82E0D" w:rsidRDefault="00F82E0D" w:rsidP="00F82E0D">
      <w:r w:rsidRPr="00F82E0D">
        <w:t xml:space="preserve">Phase 2 included regulatory-readiness activities, with regulator engagement taking place as part of implementation planning. </w:t>
      </w:r>
    </w:p>
    <w:p w14:paraId="537ACC7C" w14:textId="77777777" w:rsidR="00F82E0D" w:rsidRPr="00F82E0D" w:rsidRDefault="00F82E0D" w:rsidP="00F82E0D">
      <w:r w:rsidRPr="00F82E0D">
        <w:t>For further details, see the Methodology, Co</w:t>
      </w:r>
      <w:r w:rsidRPr="00F82E0D">
        <w:rPr>
          <w:rFonts w:ascii="Cambria Math" w:hAnsi="Cambria Math" w:cs="Cambria Math"/>
        </w:rPr>
        <w:t>‑</w:t>
      </w:r>
      <w:r w:rsidRPr="00F82E0D">
        <w:t xml:space="preserve">design Approach, and Implementation Architecture sections of the final report.  </w:t>
      </w:r>
    </w:p>
    <w:p w14:paraId="290388F1" w14:textId="77777777"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 xml:space="preserve">Q14. What is the timeline for this project? </w:t>
      </w:r>
    </w:p>
    <w:p w14:paraId="07A93B81" w14:textId="77777777" w:rsidR="00F82E0D" w:rsidRPr="00313831" w:rsidRDefault="00F82E0D" w:rsidP="00F82E0D">
      <w:pPr>
        <w:rPr>
          <w:color w:val="2A194C"/>
        </w:rPr>
      </w:pPr>
      <w:r w:rsidRPr="00F82E0D">
        <w:rPr>
          <w:b/>
          <w:bCs/>
        </w:rPr>
        <w:t>A.</w:t>
      </w:r>
      <w:r w:rsidRPr="00F82E0D">
        <w:t xml:space="preserve"> Please refer to our website for project timelines: Vocational Degree – Training Product Development.</w:t>
      </w:r>
      <w:r w:rsidRPr="00313831">
        <w:rPr>
          <w:color w:val="2A194C"/>
        </w:rPr>
        <w:t xml:space="preserve"> </w:t>
      </w:r>
      <w:hyperlink r:id="rId12" w:history="1">
        <w:r>
          <w:rPr>
            <w:rStyle w:val="Hyperlink"/>
          </w:rPr>
          <w:t>Vocational Degree Phase 3 – Training Product Development</w:t>
        </w:r>
      </w:hyperlink>
    </w:p>
    <w:p w14:paraId="025C6EF3" w14:textId="132B4C8F"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 xml:space="preserve">Q15. Why was the decision made to focus on </w:t>
      </w:r>
      <w:r w:rsidR="00220298">
        <w:rPr>
          <w:rFonts w:eastAsiaTheme="majorEastAsia" w:cstheme="majorBidi"/>
          <w:b/>
          <w:color w:val="2A194C"/>
          <w:sz w:val="32"/>
        </w:rPr>
        <w:t xml:space="preserve">the </w:t>
      </w:r>
      <w:r w:rsidRPr="00474F06">
        <w:rPr>
          <w:rFonts w:eastAsiaTheme="majorEastAsia" w:cstheme="majorBidi"/>
          <w:b/>
          <w:color w:val="2A194C"/>
          <w:sz w:val="32"/>
        </w:rPr>
        <w:t xml:space="preserve">mining </w:t>
      </w:r>
      <w:r w:rsidR="00220298">
        <w:rPr>
          <w:rFonts w:eastAsiaTheme="majorEastAsia" w:cstheme="majorBidi"/>
          <w:b/>
          <w:color w:val="2A194C"/>
          <w:sz w:val="32"/>
        </w:rPr>
        <w:t xml:space="preserve">sector </w:t>
      </w:r>
      <w:r w:rsidRPr="00474F06">
        <w:rPr>
          <w:rFonts w:eastAsiaTheme="majorEastAsia" w:cstheme="majorBidi"/>
          <w:b/>
          <w:color w:val="2A194C"/>
          <w:sz w:val="32"/>
        </w:rPr>
        <w:t xml:space="preserve">and exclude </w:t>
      </w:r>
      <w:r w:rsidR="00220298">
        <w:rPr>
          <w:rFonts w:eastAsiaTheme="majorEastAsia" w:cstheme="majorBidi"/>
          <w:b/>
          <w:color w:val="2A194C"/>
          <w:sz w:val="32"/>
        </w:rPr>
        <w:t xml:space="preserve">the </w:t>
      </w:r>
      <w:r w:rsidRPr="00474F06">
        <w:rPr>
          <w:rFonts w:eastAsiaTheme="majorEastAsia" w:cstheme="majorBidi"/>
          <w:b/>
          <w:color w:val="2A194C"/>
          <w:sz w:val="32"/>
        </w:rPr>
        <w:t>automotive</w:t>
      </w:r>
      <w:r w:rsidR="00220298">
        <w:rPr>
          <w:rFonts w:eastAsiaTheme="majorEastAsia" w:cstheme="majorBidi"/>
          <w:b/>
          <w:color w:val="2A194C"/>
          <w:sz w:val="32"/>
        </w:rPr>
        <w:t xml:space="preserve"> sector</w:t>
      </w:r>
      <w:r w:rsidRPr="00474F06">
        <w:rPr>
          <w:rFonts w:eastAsiaTheme="majorEastAsia" w:cstheme="majorBidi"/>
          <w:b/>
          <w:color w:val="2A194C"/>
          <w:sz w:val="32"/>
        </w:rPr>
        <w:t xml:space="preserve">? </w:t>
      </w:r>
    </w:p>
    <w:p w14:paraId="2F1924C3" w14:textId="55CCE532" w:rsidR="00F82E0D" w:rsidRPr="00F82E0D" w:rsidRDefault="00F82E0D" w:rsidP="00F82E0D">
      <w:r w:rsidRPr="00F82E0D">
        <w:rPr>
          <w:b/>
          <w:bCs/>
        </w:rPr>
        <w:t>A.</w:t>
      </w:r>
      <w:r w:rsidRPr="00F82E0D">
        <w:t xml:space="preserve"> An environmental scan and extensive research were undertaken across both the mining and automotive sectors, along with extensive stakeholder consultation throughout the feasibility </w:t>
      </w:r>
      <w:r w:rsidR="00DF6ADA">
        <w:t>P</w:t>
      </w:r>
      <w:r w:rsidRPr="00F82E0D">
        <w:t xml:space="preserve">hase 1 of the vocational degree. The findings informed the role upon which the initial launch of the vocational degree would be undertaken. For further details, we invite you to view the opportunity and feasibility analysis undertaken in </w:t>
      </w:r>
      <w:r w:rsidR="0094203C">
        <w:t>P</w:t>
      </w:r>
      <w:r w:rsidRPr="00F82E0D">
        <w:t xml:space="preserve">hase 1, which is included on the AUSMASA website. This question was also revisited throughout the information session, which provided a list of both mining and automotive occupations, refined during the analysis process. </w:t>
      </w:r>
    </w:p>
    <w:p w14:paraId="72A4276D" w14:textId="0DBB06E4" w:rsidR="00F82E0D" w:rsidRPr="00F82E0D" w:rsidRDefault="00F82E0D" w:rsidP="00F82E0D">
      <w:r w:rsidRPr="00F82E0D">
        <w:t xml:space="preserve">For further details, please see the </w:t>
      </w:r>
      <w:r w:rsidR="00DF6ADA">
        <w:t>P</w:t>
      </w:r>
      <w:r w:rsidRPr="00F82E0D">
        <w:t xml:space="preserve">hase 1 excerpts and the presentation recording. </w:t>
      </w:r>
    </w:p>
    <w:p w14:paraId="1E898898" w14:textId="77777777" w:rsidR="00F82E0D" w:rsidRPr="00F82E0D" w:rsidRDefault="00F82E0D" w:rsidP="00F82E0D">
      <w:r w:rsidRPr="00F82E0D">
        <w:t xml:space="preserve">Also see Executive Summary – Confirmation of Discipline Focus: The Reliability and Testing Engineer section of the final report. </w:t>
      </w:r>
    </w:p>
    <w:p w14:paraId="1D49FCC6" w14:textId="77777777" w:rsidR="00F82E0D" w:rsidRPr="00474F06" w:rsidRDefault="00F82E0D" w:rsidP="00F82E0D">
      <w:pPr>
        <w:rPr>
          <w:rFonts w:eastAsiaTheme="majorEastAsia" w:cstheme="majorBidi"/>
          <w:b/>
          <w:color w:val="2A194C"/>
          <w:sz w:val="32"/>
        </w:rPr>
      </w:pPr>
      <w:r w:rsidRPr="00474F06">
        <w:rPr>
          <w:rFonts w:eastAsiaTheme="majorEastAsia" w:cstheme="majorBidi"/>
          <w:b/>
          <w:color w:val="2A194C"/>
          <w:sz w:val="32"/>
        </w:rPr>
        <w:t xml:space="preserve">Q16. A mine site has 1 Reliability Engineer at most. The same mine site has likely 3 Engineering Superintendents and 1 Engineering/Maintenance Manager. You will have more numbers if you include these. I've never heard of a ‘Test Engineer’ on a mine site. </w:t>
      </w:r>
    </w:p>
    <w:p w14:paraId="3A72EB55" w14:textId="178A5B6A" w:rsidR="00F82E0D" w:rsidRPr="00F82E0D" w:rsidRDefault="00F82E0D" w:rsidP="00F82E0D">
      <w:r w:rsidRPr="00F82E0D">
        <w:rPr>
          <w:b/>
          <w:bCs/>
        </w:rPr>
        <w:t>A.</w:t>
      </w:r>
      <w:r w:rsidRPr="00F82E0D">
        <w:t xml:space="preserve"> Consultation with industry has revealed that mine sites often have reliability work spread across roles with different titles, such as </w:t>
      </w:r>
      <w:r w:rsidR="00501979">
        <w:t>A</w:t>
      </w:r>
      <w:r w:rsidRPr="00F82E0D">
        <w:t xml:space="preserve">sset </w:t>
      </w:r>
      <w:r w:rsidR="00501979">
        <w:t>H</w:t>
      </w:r>
      <w:r w:rsidRPr="00F82E0D">
        <w:t xml:space="preserve">ealth </w:t>
      </w:r>
      <w:r w:rsidR="00501979">
        <w:t>E</w:t>
      </w:r>
      <w:r w:rsidRPr="00F82E0D">
        <w:t xml:space="preserve">ngineer, </w:t>
      </w:r>
      <w:r w:rsidR="00501979">
        <w:t>M</w:t>
      </w:r>
      <w:r w:rsidRPr="00F82E0D">
        <w:t xml:space="preserve">aintenance </w:t>
      </w:r>
      <w:r w:rsidR="00501979">
        <w:t>E</w:t>
      </w:r>
      <w:r w:rsidRPr="00F82E0D">
        <w:t xml:space="preserve">ngineer or </w:t>
      </w:r>
      <w:r w:rsidR="00501979">
        <w:t>C</w:t>
      </w:r>
      <w:r w:rsidRPr="00F82E0D">
        <w:t xml:space="preserve">ondition </w:t>
      </w:r>
      <w:r w:rsidR="00501979">
        <w:t>M</w:t>
      </w:r>
      <w:r w:rsidRPr="00F82E0D">
        <w:t xml:space="preserve">onitoring </w:t>
      </w:r>
      <w:r w:rsidR="00501979">
        <w:t>S</w:t>
      </w:r>
      <w:r w:rsidRPr="00F82E0D">
        <w:t xml:space="preserve">pecialist. We repeatedly heard that while a site may have only one person formally titled a </w:t>
      </w:r>
      <w:r w:rsidR="00501979">
        <w:t>R</w:t>
      </w:r>
      <w:r w:rsidRPr="00F82E0D">
        <w:t xml:space="preserve">eliability </w:t>
      </w:r>
      <w:r w:rsidR="00501979">
        <w:t>E</w:t>
      </w:r>
      <w:r w:rsidRPr="00F82E0D">
        <w:t xml:space="preserve">ngineer, the function itself appeared to have a broader application.  </w:t>
      </w:r>
    </w:p>
    <w:p w14:paraId="65BAE695" w14:textId="77777777" w:rsidR="00F82E0D" w:rsidRPr="00F82E0D" w:rsidRDefault="00F82E0D" w:rsidP="00F82E0D">
      <w:r w:rsidRPr="00F82E0D">
        <w:t>For further details, see the Priority Job Roles and Applied Professional Outcomes section of the final report.</w:t>
      </w:r>
    </w:p>
    <w:p w14:paraId="230AF2E0" w14:textId="2A9F9890" w:rsidR="00816EE6" w:rsidRPr="00BC6189" w:rsidRDefault="00816EE6" w:rsidP="00BC6189">
      <w:pPr>
        <w:rPr>
          <w:rStyle w:val="Hyperlink"/>
        </w:rPr>
      </w:pPr>
    </w:p>
    <w:sectPr w:rsidR="00816EE6" w:rsidRPr="00BC6189" w:rsidSect="00463FE4">
      <w:headerReference w:type="default" r:id="rId13"/>
      <w:footerReference w:type="default" r:id="rId14"/>
      <w:pgSz w:w="11906" w:h="16838"/>
      <w:pgMar w:top="2126" w:right="1077" w:bottom="1440" w:left="1077" w:header="567" w:footer="4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E3C7" w14:textId="77777777" w:rsidR="0079714D" w:rsidRPr="00D47896" w:rsidRDefault="0079714D" w:rsidP="00D47896">
      <w:r>
        <w:separator/>
      </w:r>
    </w:p>
    <w:p w14:paraId="473DF966" w14:textId="77777777" w:rsidR="0079714D" w:rsidRDefault="0079714D"/>
  </w:endnote>
  <w:endnote w:type="continuationSeparator" w:id="0">
    <w:p w14:paraId="16B7D779" w14:textId="77777777" w:rsidR="0079714D" w:rsidRPr="00D47896" w:rsidRDefault="0079714D" w:rsidP="00D47896">
      <w:r>
        <w:continuationSeparator/>
      </w:r>
    </w:p>
    <w:p w14:paraId="25D1FA53" w14:textId="77777777" w:rsidR="0079714D" w:rsidRDefault="00797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CBEE" w14:textId="77777777" w:rsidR="00E1193E" w:rsidRDefault="00CB5194" w:rsidP="00CB5194">
    <w:pPr>
      <w:pStyle w:val="Footer"/>
      <w:jc w:val="right"/>
    </w:pPr>
    <w:r w:rsidRPr="00A20E70">
      <w:rPr>
        <w:noProof/>
      </w:rPr>
      <w:drawing>
        <wp:anchor distT="0" distB="0" distL="114300" distR="114300" simplePos="0" relativeHeight="251658240" behindDoc="1" locked="0" layoutInCell="1" allowOverlap="1" wp14:anchorId="6BDAFBD5" wp14:editId="4AFBF9FD">
          <wp:simplePos x="0" y="0"/>
          <wp:positionH relativeFrom="page">
            <wp:posOffset>1693</wp:posOffset>
          </wp:positionH>
          <wp:positionV relativeFrom="paragraph">
            <wp:posOffset>-842645</wp:posOffset>
          </wp:positionV>
          <wp:extent cx="7560000" cy="1258966"/>
          <wp:effectExtent l="0" t="0" r="3175" b="0"/>
          <wp:wrapNone/>
          <wp:docPr id="1730031157" name="Picture 1730031157" descr="A long thin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52961" name="Picture 2" descr="A long thin line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966"/>
                  </a:xfrm>
                  <a:prstGeom prst="rect">
                    <a:avLst/>
                  </a:prstGeom>
                </pic:spPr>
              </pic:pic>
            </a:graphicData>
          </a:graphic>
          <wp14:sizeRelH relativeFrom="page">
            <wp14:pctWidth>0</wp14:pctWidth>
          </wp14:sizeRelH>
          <wp14:sizeRelV relativeFrom="page">
            <wp14:pctHeight>0</wp14:pctHeight>
          </wp14:sizeRelV>
        </wp:anchor>
      </w:drawing>
    </w:r>
    <w:r w:rsidR="00E1193E">
      <w:t>AUSMASA</w:t>
    </w:r>
    <w:r w:rsidR="00E1193E" w:rsidRPr="00A20E70">
      <w:t xml:space="preserve"> |</w:t>
    </w:r>
    <w:sdt>
      <w:sdtPr>
        <w:id w:val="978731470"/>
        <w:docPartObj>
          <w:docPartGallery w:val="Page Numbers (Bottom of Page)"/>
          <w:docPartUnique/>
        </w:docPartObj>
      </w:sdtPr>
      <w:sdtEndPr/>
      <w:sdtContent>
        <w:r w:rsidR="00E1193E" w:rsidRPr="00A20E70">
          <w:t xml:space="preserve"> </w:t>
        </w:r>
        <w:r w:rsidR="00E1193E" w:rsidRPr="00A20E70">
          <w:fldChar w:fldCharType="begin"/>
        </w:r>
        <w:r w:rsidR="00E1193E" w:rsidRPr="00A20E70">
          <w:instrText xml:space="preserve"> PAGE   \* MERGEFORMAT </w:instrText>
        </w:r>
        <w:r w:rsidR="00E1193E" w:rsidRPr="00A20E70">
          <w:fldChar w:fldCharType="separate"/>
        </w:r>
        <w:r w:rsidR="00E1193E" w:rsidRPr="00A20E70">
          <w:t>2</w:t>
        </w:r>
        <w:r w:rsidR="00E1193E" w:rsidRPr="00A20E7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26CD" w14:textId="77777777" w:rsidR="0079714D" w:rsidRPr="00D47896" w:rsidRDefault="0079714D" w:rsidP="00D47896">
      <w:r>
        <w:separator/>
      </w:r>
    </w:p>
    <w:p w14:paraId="2654827B" w14:textId="77777777" w:rsidR="0079714D" w:rsidRDefault="0079714D"/>
  </w:footnote>
  <w:footnote w:type="continuationSeparator" w:id="0">
    <w:p w14:paraId="124EB9B4" w14:textId="77777777" w:rsidR="0079714D" w:rsidRPr="00D47896" w:rsidRDefault="0079714D" w:rsidP="00D47896">
      <w:r>
        <w:continuationSeparator/>
      </w:r>
    </w:p>
    <w:p w14:paraId="7136E383" w14:textId="77777777" w:rsidR="0079714D" w:rsidRDefault="00797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2DCE" w14:textId="77777777" w:rsidR="00E1193E" w:rsidRDefault="00E1193E">
    <w:pPr>
      <w:pStyle w:val="Header"/>
    </w:pPr>
    <w:r w:rsidRPr="00D47896">
      <w:rPr>
        <w:noProof/>
      </w:rPr>
      <w:drawing>
        <wp:anchor distT="0" distB="0" distL="114300" distR="114300" simplePos="0" relativeHeight="251658241" behindDoc="1" locked="0" layoutInCell="1" allowOverlap="1" wp14:anchorId="7E22925C" wp14:editId="0F55DBB9">
          <wp:simplePos x="0" y="0"/>
          <wp:positionH relativeFrom="page">
            <wp:posOffset>2372</wp:posOffset>
          </wp:positionH>
          <wp:positionV relativeFrom="paragraph">
            <wp:posOffset>-355600</wp:posOffset>
          </wp:positionV>
          <wp:extent cx="7560000" cy="1438153"/>
          <wp:effectExtent l="0" t="0" r="3175" b="0"/>
          <wp:wrapNone/>
          <wp:docPr id="372417545" name="Picture 372417545" descr="A white background with mono version of AUSMAS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57310" name="Picture 669157310" descr="A white background with mono version of AUSMAS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438153"/>
                  </a:xfrm>
                  <a:prstGeom prst="rect">
                    <a:avLst/>
                  </a:prstGeom>
                </pic:spPr>
              </pic:pic>
            </a:graphicData>
          </a:graphic>
          <wp14:sizeRelH relativeFrom="page">
            <wp14:pctWidth>0</wp14:pctWidth>
          </wp14:sizeRelH>
          <wp14:sizeRelV relativeFrom="page">
            <wp14:pctHeight>0</wp14:pctHeight>
          </wp14:sizeRelV>
        </wp:anchor>
      </w:drawing>
    </w:r>
  </w:p>
  <w:p w14:paraId="18C51653" w14:textId="77777777" w:rsidR="00E1193E" w:rsidRDefault="00E119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4FC"/>
    <w:multiLevelType w:val="hybridMultilevel"/>
    <w:tmpl w:val="2F681F38"/>
    <w:lvl w:ilvl="0" w:tplc="EE04A19A">
      <w:start w:val="1"/>
      <w:numFmt w:val="upperLetter"/>
      <w:lvlText w:val="%1."/>
      <w:lvlJc w:val="left"/>
      <w:pPr>
        <w:ind w:left="720" w:hanging="360"/>
      </w:pPr>
      <w:rPr>
        <w:rFonts w:eastAsia="Aptos"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95A19"/>
    <w:multiLevelType w:val="hybridMultilevel"/>
    <w:tmpl w:val="99A01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1934AF"/>
    <w:multiLevelType w:val="hybridMultilevel"/>
    <w:tmpl w:val="C5EA4D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F44C91"/>
    <w:multiLevelType w:val="multilevel"/>
    <w:tmpl w:val="4F3ACC6A"/>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4" w15:restartNumberingAfterBreak="0">
    <w:nsid w:val="21B24FF9"/>
    <w:multiLevelType w:val="hybridMultilevel"/>
    <w:tmpl w:val="6F4296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2011BB"/>
    <w:multiLevelType w:val="hybridMultilevel"/>
    <w:tmpl w:val="EAE84A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3973AA"/>
    <w:multiLevelType w:val="hybridMultilevel"/>
    <w:tmpl w:val="33E2C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AD2BC2"/>
    <w:multiLevelType w:val="multilevel"/>
    <w:tmpl w:val="D42A09D6"/>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8" w15:restartNumberingAfterBreak="0">
    <w:nsid w:val="38026437"/>
    <w:multiLevelType w:val="hybridMultilevel"/>
    <w:tmpl w:val="ADF87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AD6E19"/>
    <w:multiLevelType w:val="hybridMultilevel"/>
    <w:tmpl w:val="EC341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57532B"/>
    <w:multiLevelType w:val="hybridMultilevel"/>
    <w:tmpl w:val="DDC8ED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0E073B7"/>
    <w:multiLevelType w:val="hybridMultilevel"/>
    <w:tmpl w:val="E40C388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0F335D7"/>
    <w:multiLevelType w:val="hybridMultilevel"/>
    <w:tmpl w:val="4B4CF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AB5F7E"/>
    <w:multiLevelType w:val="hybridMultilevel"/>
    <w:tmpl w:val="25BCF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2D0E2E"/>
    <w:multiLevelType w:val="hybridMultilevel"/>
    <w:tmpl w:val="3EACE0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0CC30D6"/>
    <w:multiLevelType w:val="hybridMultilevel"/>
    <w:tmpl w:val="A0B23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B94230"/>
    <w:multiLevelType w:val="hybridMultilevel"/>
    <w:tmpl w:val="FD16DF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DF02102"/>
    <w:multiLevelType w:val="multilevel"/>
    <w:tmpl w:val="02E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561285">
    <w:abstractNumId w:val="8"/>
  </w:num>
  <w:num w:numId="2" w16cid:durableId="223492211">
    <w:abstractNumId w:val="12"/>
  </w:num>
  <w:num w:numId="3" w16cid:durableId="356665380">
    <w:abstractNumId w:val="16"/>
  </w:num>
  <w:num w:numId="4" w16cid:durableId="161509195">
    <w:abstractNumId w:val="11"/>
  </w:num>
  <w:num w:numId="5" w16cid:durableId="5206700">
    <w:abstractNumId w:val="13"/>
  </w:num>
  <w:num w:numId="6" w16cid:durableId="355933157">
    <w:abstractNumId w:val="10"/>
  </w:num>
  <w:num w:numId="7" w16cid:durableId="1250040704">
    <w:abstractNumId w:val="6"/>
  </w:num>
  <w:num w:numId="8" w16cid:durableId="1258173934">
    <w:abstractNumId w:val="4"/>
  </w:num>
  <w:num w:numId="9" w16cid:durableId="396513043">
    <w:abstractNumId w:val="15"/>
  </w:num>
  <w:num w:numId="10" w16cid:durableId="2060547330">
    <w:abstractNumId w:val="5"/>
  </w:num>
  <w:num w:numId="11" w16cid:durableId="266735640">
    <w:abstractNumId w:val="2"/>
  </w:num>
  <w:num w:numId="12" w16cid:durableId="718558475">
    <w:abstractNumId w:val="9"/>
  </w:num>
  <w:num w:numId="13" w16cid:durableId="1063480194">
    <w:abstractNumId w:val="17"/>
  </w:num>
  <w:num w:numId="14" w16cid:durableId="1568879661">
    <w:abstractNumId w:val="3"/>
  </w:num>
  <w:num w:numId="15" w16cid:durableId="1745881095">
    <w:abstractNumId w:val="7"/>
  </w:num>
  <w:num w:numId="16" w16cid:durableId="1192845208">
    <w:abstractNumId w:val="1"/>
  </w:num>
  <w:num w:numId="17" w16cid:durableId="1335305481">
    <w:abstractNumId w:val="0"/>
  </w:num>
  <w:num w:numId="18" w16cid:durableId="766001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5F"/>
    <w:rsid w:val="00003068"/>
    <w:rsid w:val="000146B3"/>
    <w:rsid w:val="00027485"/>
    <w:rsid w:val="00033589"/>
    <w:rsid w:val="000355CA"/>
    <w:rsid w:val="000375CE"/>
    <w:rsid w:val="00047EB0"/>
    <w:rsid w:val="000615EC"/>
    <w:rsid w:val="00071986"/>
    <w:rsid w:val="00085767"/>
    <w:rsid w:val="000A1444"/>
    <w:rsid w:val="000A6C0F"/>
    <w:rsid w:val="000A7715"/>
    <w:rsid w:val="000B514D"/>
    <w:rsid w:val="000C1C7A"/>
    <w:rsid w:val="000D1B19"/>
    <w:rsid w:val="000E1040"/>
    <w:rsid w:val="000F182C"/>
    <w:rsid w:val="000F4EED"/>
    <w:rsid w:val="000F4FA6"/>
    <w:rsid w:val="000F5BA7"/>
    <w:rsid w:val="000F6007"/>
    <w:rsid w:val="00104369"/>
    <w:rsid w:val="0010593B"/>
    <w:rsid w:val="00110EC8"/>
    <w:rsid w:val="00135714"/>
    <w:rsid w:val="001419D5"/>
    <w:rsid w:val="00141FF0"/>
    <w:rsid w:val="00157839"/>
    <w:rsid w:val="001601F5"/>
    <w:rsid w:val="00164B16"/>
    <w:rsid w:val="00183777"/>
    <w:rsid w:val="0018642E"/>
    <w:rsid w:val="001906EB"/>
    <w:rsid w:val="00192F0A"/>
    <w:rsid w:val="0019462E"/>
    <w:rsid w:val="001B4DFC"/>
    <w:rsid w:val="001C1D9C"/>
    <w:rsid w:val="001F08D9"/>
    <w:rsid w:val="001F1A5C"/>
    <w:rsid w:val="001F705C"/>
    <w:rsid w:val="001F79CD"/>
    <w:rsid w:val="002120D0"/>
    <w:rsid w:val="002123A4"/>
    <w:rsid w:val="00220298"/>
    <w:rsid w:val="002256F8"/>
    <w:rsid w:val="0022749E"/>
    <w:rsid w:val="00235D4E"/>
    <w:rsid w:val="002415E1"/>
    <w:rsid w:val="002446CE"/>
    <w:rsid w:val="00253F19"/>
    <w:rsid w:val="00274710"/>
    <w:rsid w:val="00280851"/>
    <w:rsid w:val="00285486"/>
    <w:rsid w:val="002915E1"/>
    <w:rsid w:val="002939BA"/>
    <w:rsid w:val="0029650D"/>
    <w:rsid w:val="002A7091"/>
    <w:rsid w:val="002D2597"/>
    <w:rsid w:val="002E5BD4"/>
    <w:rsid w:val="002F026C"/>
    <w:rsid w:val="002F3AB0"/>
    <w:rsid w:val="002F416C"/>
    <w:rsid w:val="00301E65"/>
    <w:rsid w:val="00305486"/>
    <w:rsid w:val="003068EB"/>
    <w:rsid w:val="00332BE1"/>
    <w:rsid w:val="00336653"/>
    <w:rsid w:val="003416CC"/>
    <w:rsid w:val="0034558A"/>
    <w:rsid w:val="003531C8"/>
    <w:rsid w:val="0036603F"/>
    <w:rsid w:val="0036745F"/>
    <w:rsid w:val="00370D70"/>
    <w:rsid w:val="00384F21"/>
    <w:rsid w:val="00390727"/>
    <w:rsid w:val="003A726B"/>
    <w:rsid w:val="003B574E"/>
    <w:rsid w:val="00411D36"/>
    <w:rsid w:val="00443653"/>
    <w:rsid w:val="00450398"/>
    <w:rsid w:val="00463FE4"/>
    <w:rsid w:val="00490E7B"/>
    <w:rsid w:val="004A3160"/>
    <w:rsid w:val="004A3AA7"/>
    <w:rsid w:val="004A7242"/>
    <w:rsid w:val="004B4BE1"/>
    <w:rsid w:val="004C4F4A"/>
    <w:rsid w:val="004C7885"/>
    <w:rsid w:val="004D3D19"/>
    <w:rsid w:val="004E12C1"/>
    <w:rsid w:val="004F224A"/>
    <w:rsid w:val="00501979"/>
    <w:rsid w:val="0051185B"/>
    <w:rsid w:val="0051505A"/>
    <w:rsid w:val="0053235F"/>
    <w:rsid w:val="0053631E"/>
    <w:rsid w:val="00551FDC"/>
    <w:rsid w:val="005575C0"/>
    <w:rsid w:val="00581126"/>
    <w:rsid w:val="00581F98"/>
    <w:rsid w:val="005C0EB5"/>
    <w:rsid w:val="005C2173"/>
    <w:rsid w:val="005C6CCA"/>
    <w:rsid w:val="005E0A08"/>
    <w:rsid w:val="005E6DE0"/>
    <w:rsid w:val="005E6E48"/>
    <w:rsid w:val="005F283F"/>
    <w:rsid w:val="005F7B73"/>
    <w:rsid w:val="00601120"/>
    <w:rsid w:val="00607616"/>
    <w:rsid w:val="00612B87"/>
    <w:rsid w:val="00623D99"/>
    <w:rsid w:val="00635C2F"/>
    <w:rsid w:val="00652CDF"/>
    <w:rsid w:val="0066213A"/>
    <w:rsid w:val="00674FA0"/>
    <w:rsid w:val="00681B8B"/>
    <w:rsid w:val="00683919"/>
    <w:rsid w:val="006A04C6"/>
    <w:rsid w:val="006A2176"/>
    <w:rsid w:val="006A2372"/>
    <w:rsid w:val="006B3ABA"/>
    <w:rsid w:val="006B7D4A"/>
    <w:rsid w:val="006D210A"/>
    <w:rsid w:val="006D2BA3"/>
    <w:rsid w:val="006E3B0D"/>
    <w:rsid w:val="006E4E9C"/>
    <w:rsid w:val="00710397"/>
    <w:rsid w:val="00712258"/>
    <w:rsid w:val="007133A5"/>
    <w:rsid w:val="00713AF9"/>
    <w:rsid w:val="0072493B"/>
    <w:rsid w:val="00746E85"/>
    <w:rsid w:val="00747384"/>
    <w:rsid w:val="0074777C"/>
    <w:rsid w:val="00753F3C"/>
    <w:rsid w:val="00756765"/>
    <w:rsid w:val="007608CB"/>
    <w:rsid w:val="007621D7"/>
    <w:rsid w:val="0076612F"/>
    <w:rsid w:val="0077391F"/>
    <w:rsid w:val="00776829"/>
    <w:rsid w:val="0079714D"/>
    <w:rsid w:val="007B219A"/>
    <w:rsid w:val="007B76B5"/>
    <w:rsid w:val="007C17FB"/>
    <w:rsid w:val="007D50C2"/>
    <w:rsid w:val="007E195E"/>
    <w:rsid w:val="007E72E9"/>
    <w:rsid w:val="007F145C"/>
    <w:rsid w:val="007F1691"/>
    <w:rsid w:val="00800E62"/>
    <w:rsid w:val="008041FF"/>
    <w:rsid w:val="008049BA"/>
    <w:rsid w:val="0080687D"/>
    <w:rsid w:val="00806DF6"/>
    <w:rsid w:val="00812FFD"/>
    <w:rsid w:val="00816EE6"/>
    <w:rsid w:val="008232C2"/>
    <w:rsid w:val="00827A1E"/>
    <w:rsid w:val="00827E7B"/>
    <w:rsid w:val="0083339B"/>
    <w:rsid w:val="0083576B"/>
    <w:rsid w:val="008413D0"/>
    <w:rsid w:val="00847412"/>
    <w:rsid w:val="008531CC"/>
    <w:rsid w:val="00867245"/>
    <w:rsid w:val="00867A43"/>
    <w:rsid w:val="008725F4"/>
    <w:rsid w:val="008755BB"/>
    <w:rsid w:val="00883916"/>
    <w:rsid w:val="0088637C"/>
    <w:rsid w:val="00893192"/>
    <w:rsid w:val="008961EF"/>
    <w:rsid w:val="008A7B29"/>
    <w:rsid w:val="008B0F7F"/>
    <w:rsid w:val="008B1957"/>
    <w:rsid w:val="008E7E67"/>
    <w:rsid w:val="008F0DA1"/>
    <w:rsid w:val="00910F27"/>
    <w:rsid w:val="00914319"/>
    <w:rsid w:val="00927B29"/>
    <w:rsid w:val="00936FE1"/>
    <w:rsid w:val="0094203C"/>
    <w:rsid w:val="009457A2"/>
    <w:rsid w:val="0095648A"/>
    <w:rsid w:val="00971545"/>
    <w:rsid w:val="00974DAC"/>
    <w:rsid w:val="009774A7"/>
    <w:rsid w:val="009841E8"/>
    <w:rsid w:val="009843E1"/>
    <w:rsid w:val="00991F5F"/>
    <w:rsid w:val="0099223C"/>
    <w:rsid w:val="009B5D9E"/>
    <w:rsid w:val="009C2406"/>
    <w:rsid w:val="009C575C"/>
    <w:rsid w:val="009D4AFE"/>
    <w:rsid w:val="009E44F5"/>
    <w:rsid w:val="009F0C23"/>
    <w:rsid w:val="009F3902"/>
    <w:rsid w:val="009F3CF0"/>
    <w:rsid w:val="009F5CE1"/>
    <w:rsid w:val="00A20E70"/>
    <w:rsid w:val="00A25551"/>
    <w:rsid w:val="00A264BD"/>
    <w:rsid w:val="00A33998"/>
    <w:rsid w:val="00A3409D"/>
    <w:rsid w:val="00A42EAB"/>
    <w:rsid w:val="00A44394"/>
    <w:rsid w:val="00A52A5B"/>
    <w:rsid w:val="00A718C7"/>
    <w:rsid w:val="00A7769F"/>
    <w:rsid w:val="00A845C8"/>
    <w:rsid w:val="00A8564F"/>
    <w:rsid w:val="00A97E52"/>
    <w:rsid w:val="00AA4A5D"/>
    <w:rsid w:val="00AC36AF"/>
    <w:rsid w:val="00AC7740"/>
    <w:rsid w:val="00AD16DA"/>
    <w:rsid w:val="00AD3276"/>
    <w:rsid w:val="00B30270"/>
    <w:rsid w:val="00B419D9"/>
    <w:rsid w:val="00B45700"/>
    <w:rsid w:val="00B52EDC"/>
    <w:rsid w:val="00B612E7"/>
    <w:rsid w:val="00B6423A"/>
    <w:rsid w:val="00B65597"/>
    <w:rsid w:val="00B66EC8"/>
    <w:rsid w:val="00B7384E"/>
    <w:rsid w:val="00B739FB"/>
    <w:rsid w:val="00B77369"/>
    <w:rsid w:val="00B81287"/>
    <w:rsid w:val="00BB1C52"/>
    <w:rsid w:val="00BB5014"/>
    <w:rsid w:val="00BC09A9"/>
    <w:rsid w:val="00BC349E"/>
    <w:rsid w:val="00BC6189"/>
    <w:rsid w:val="00BC6989"/>
    <w:rsid w:val="00BC6CBA"/>
    <w:rsid w:val="00BD45E1"/>
    <w:rsid w:val="00C41760"/>
    <w:rsid w:val="00C45583"/>
    <w:rsid w:val="00C5288D"/>
    <w:rsid w:val="00C53088"/>
    <w:rsid w:val="00C67069"/>
    <w:rsid w:val="00C800AD"/>
    <w:rsid w:val="00C87722"/>
    <w:rsid w:val="00C9515B"/>
    <w:rsid w:val="00CA1F0B"/>
    <w:rsid w:val="00CB5194"/>
    <w:rsid w:val="00CD7804"/>
    <w:rsid w:val="00CF2F47"/>
    <w:rsid w:val="00CF5356"/>
    <w:rsid w:val="00D12252"/>
    <w:rsid w:val="00D15EE8"/>
    <w:rsid w:val="00D3290A"/>
    <w:rsid w:val="00D43B93"/>
    <w:rsid w:val="00D47896"/>
    <w:rsid w:val="00D515DD"/>
    <w:rsid w:val="00D51DDA"/>
    <w:rsid w:val="00D5554F"/>
    <w:rsid w:val="00D64021"/>
    <w:rsid w:val="00D6705E"/>
    <w:rsid w:val="00D67506"/>
    <w:rsid w:val="00D75BC3"/>
    <w:rsid w:val="00D84222"/>
    <w:rsid w:val="00D87D39"/>
    <w:rsid w:val="00DB30DA"/>
    <w:rsid w:val="00DC69C6"/>
    <w:rsid w:val="00DD753E"/>
    <w:rsid w:val="00DE5DB9"/>
    <w:rsid w:val="00DF6ADA"/>
    <w:rsid w:val="00E0301E"/>
    <w:rsid w:val="00E1193E"/>
    <w:rsid w:val="00E163BD"/>
    <w:rsid w:val="00E16412"/>
    <w:rsid w:val="00E256E7"/>
    <w:rsid w:val="00E5093F"/>
    <w:rsid w:val="00E908D2"/>
    <w:rsid w:val="00E97A1F"/>
    <w:rsid w:val="00E97F41"/>
    <w:rsid w:val="00EA0BAA"/>
    <w:rsid w:val="00ED069A"/>
    <w:rsid w:val="00F15480"/>
    <w:rsid w:val="00F21EBE"/>
    <w:rsid w:val="00F32193"/>
    <w:rsid w:val="00F425A2"/>
    <w:rsid w:val="00F57948"/>
    <w:rsid w:val="00F65078"/>
    <w:rsid w:val="00F65781"/>
    <w:rsid w:val="00F7273B"/>
    <w:rsid w:val="00F72F60"/>
    <w:rsid w:val="00F76A9F"/>
    <w:rsid w:val="00F82E0D"/>
    <w:rsid w:val="00F94BB0"/>
    <w:rsid w:val="00FA62EF"/>
    <w:rsid w:val="00FA6A13"/>
    <w:rsid w:val="00FB4D27"/>
    <w:rsid w:val="00FB6797"/>
    <w:rsid w:val="00FD70E8"/>
    <w:rsid w:val="00FE3EB3"/>
    <w:rsid w:val="00FF67CA"/>
    <w:rsid w:val="2D58DF6B"/>
    <w:rsid w:val="36AC87BD"/>
    <w:rsid w:val="675034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9FFD5"/>
  <w15:chartTrackingRefBased/>
  <w15:docId w15:val="{F4C84563-529A-431C-8DD1-A2DE9C04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62626" w:themeColor="text1" w:themeTint="D9"/>
        <w:kern w:val="2"/>
        <w:sz w:val="22"/>
        <w:szCs w:val="22"/>
        <w:lang w:val="en-AU"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locked="0"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C6189"/>
  </w:style>
  <w:style w:type="paragraph" w:styleId="Heading1">
    <w:name w:val="heading 1"/>
    <w:basedOn w:val="Normal"/>
    <w:next w:val="Normal"/>
    <w:link w:val="Heading1Char"/>
    <w:uiPriority w:val="9"/>
    <w:qFormat/>
    <w:rsid w:val="00BC6189"/>
    <w:pPr>
      <w:keepNext/>
      <w:keepLines/>
      <w:spacing w:before="240" w:after="120"/>
      <w:outlineLvl w:val="0"/>
    </w:pPr>
    <w:rPr>
      <w:rFonts w:eastAsiaTheme="majorEastAsia" w:cstheme="majorBidi"/>
      <w:b/>
      <w:color w:val="44546A" w:themeColor="text2"/>
      <w:sz w:val="48"/>
      <w:szCs w:val="32"/>
    </w:rPr>
  </w:style>
  <w:style w:type="paragraph" w:styleId="Heading2">
    <w:name w:val="heading 2"/>
    <w:basedOn w:val="Normal"/>
    <w:next w:val="Normal"/>
    <w:link w:val="Heading2Char"/>
    <w:uiPriority w:val="9"/>
    <w:unhideWhenUsed/>
    <w:qFormat/>
    <w:rsid w:val="00BC6189"/>
    <w:pPr>
      <w:keepNext/>
      <w:keepLines/>
      <w:spacing w:before="40" w:after="120"/>
      <w:outlineLvl w:val="1"/>
    </w:pPr>
    <w:rPr>
      <w:rFonts w:eastAsiaTheme="majorEastAsia" w:cstheme="majorBidi"/>
      <w:b/>
      <w:color w:val="04616B" w:themeColor="accent2"/>
      <w:sz w:val="48"/>
      <w:szCs w:val="26"/>
    </w:rPr>
  </w:style>
  <w:style w:type="paragraph" w:styleId="Heading3">
    <w:name w:val="heading 3"/>
    <w:basedOn w:val="Normal"/>
    <w:next w:val="Normal"/>
    <w:link w:val="Heading3Char"/>
    <w:uiPriority w:val="9"/>
    <w:unhideWhenUsed/>
    <w:qFormat/>
    <w:rsid w:val="00BC6189"/>
    <w:pPr>
      <w:keepNext/>
      <w:keepLines/>
      <w:spacing w:before="40" w:after="120"/>
      <w:outlineLvl w:val="2"/>
    </w:pPr>
    <w:rPr>
      <w:rFonts w:eastAsiaTheme="majorEastAsia" w:cstheme="majorBidi"/>
      <w:b/>
      <w:color w:val="2A194C"/>
      <w:sz w:val="36"/>
      <w:szCs w:val="24"/>
    </w:rPr>
  </w:style>
  <w:style w:type="paragraph" w:styleId="Heading4">
    <w:name w:val="heading 4"/>
    <w:basedOn w:val="Normal"/>
    <w:next w:val="Normal"/>
    <w:link w:val="Heading4Char"/>
    <w:uiPriority w:val="9"/>
    <w:unhideWhenUsed/>
    <w:qFormat/>
    <w:rsid w:val="005F7B73"/>
    <w:pPr>
      <w:keepNext/>
      <w:keepLines/>
      <w:spacing w:before="40" w:after="120"/>
      <w:outlineLvl w:val="3"/>
    </w:pPr>
    <w:rPr>
      <w:rFonts w:eastAsiaTheme="majorEastAsia" w:cstheme="majorBidi"/>
      <w:b/>
      <w:iCs/>
      <w:color w:val="04616B"/>
      <w:sz w:val="36"/>
    </w:rPr>
  </w:style>
  <w:style w:type="paragraph" w:styleId="Heading5">
    <w:name w:val="heading 5"/>
    <w:basedOn w:val="Normal"/>
    <w:next w:val="Normal"/>
    <w:link w:val="Heading5Char"/>
    <w:uiPriority w:val="9"/>
    <w:unhideWhenUsed/>
    <w:qFormat/>
    <w:rsid w:val="005F7B73"/>
    <w:pPr>
      <w:keepNext/>
      <w:keepLines/>
      <w:spacing w:before="40" w:after="120"/>
      <w:outlineLvl w:val="4"/>
    </w:pPr>
    <w:rPr>
      <w:rFonts w:eastAsiaTheme="majorEastAsia" w:cstheme="majorBidi"/>
      <w:b/>
      <w:color w:val="2A194C"/>
      <w:sz w:val="32"/>
    </w:rPr>
  </w:style>
  <w:style w:type="paragraph" w:styleId="Heading6">
    <w:name w:val="heading 6"/>
    <w:basedOn w:val="Normal"/>
    <w:next w:val="Normal"/>
    <w:link w:val="Heading6Char"/>
    <w:uiPriority w:val="9"/>
    <w:unhideWhenUsed/>
    <w:qFormat/>
    <w:rsid w:val="005F7B73"/>
    <w:pPr>
      <w:keepNext/>
      <w:keepLines/>
      <w:spacing w:before="40" w:after="120"/>
      <w:outlineLvl w:val="5"/>
    </w:pPr>
    <w:rPr>
      <w:rFonts w:eastAsiaTheme="majorEastAsia" w:cstheme="majorBidi"/>
      <w:b/>
      <w:color w:val="04616B"/>
      <w:sz w:val="32"/>
    </w:rPr>
  </w:style>
  <w:style w:type="paragraph" w:styleId="Heading7">
    <w:name w:val="heading 7"/>
    <w:basedOn w:val="Normal"/>
    <w:next w:val="Normal"/>
    <w:link w:val="Heading7Char"/>
    <w:uiPriority w:val="9"/>
    <w:unhideWhenUsed/>
    <w:qFormat/>
    <w:rsid w:val="005F7B73"/>
    <w:pPr>
      <w:keepNext/>
      <w:keepLines/>
      <w:spacing w:before="40" w:after="120"/>
      <w:outlineLvl w:val="6"/>
    </w:pPr>
    <w:rPr>
      <w:rFonts w:eastAsiaTheme="majorEastAsia" w:cstheme="majorBidi"/>
      <w:b/>
      <w:iCs/>
      <w:color w:val="2A194C"/>
      <w:sz w:val="28"/>
    </w:rPr>
  </w:style>
  <w:style w:type="paragraph" w:styleId="Heading8">
    <w:name w:val="heading 8"/>
    <w:basedOn w:val="Normal"/>
    <w:next w:val="Normal"/>
    <w:link w:val="Heading8Char"/>
    <w:uiPriority w:val="9"/>
    <w:unhideWhenUsed/>
    <w:qFormat/>
    <w:rsid w:val="005F7B73"/>
    <w:pPr>
      <w:keepNext/>
      <w:keepLines/>
      <w:spacing w:before="40" w:after="120"/>
      <w:outlineLvl w:val="7"/>
    </w:pPr>
    <w:rPr>
      <w:rFonts w:eastAsiaTheme="majorEastAsia" w:cstheme="majorBidi"/>
      <w:b/>
      <w:color w:val="04616B"/>
      <w:sz w:val="28"/>
      <w:szCs w:val="21"/>
    </w:rPr>
  </w:style>
  <w:style w:type="paragraph" w:styleId="Heading9">
    <w:name w:val="heading 9"/>
    <w:basedOn w:val="Normal"/>
    <w:next w:val="Normal"/>
    <w:link w:val="Heading9Char"/>
    <w:uiPriority w:val="9"/>
    <w:unhideWhenUsed/>
    <w:qFormat/>
    <w:rsid w:val="005F7B73"/>
    <w:pPr>
      <w:keepNext/>
      <w:keepLines/>
      <w:spacing w:before="40" w:after="120"/>
      <w:outlineLvl w:val="8"/>
    </w:pPr>
    <w:rPr>
      <w:rFonts w:eastAsiaTheme="majorEastAsia" w:cstheme="majorBidi"/>
      <w:b/>
      <w:iCs/>
      <w:color w:val="04616B"/>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189"/>
    <w:rPr>
      <w:rFonts w:eastAsiaTheme="majorEastAsia" w:cstheme="majorBidi"/>
      <w:b/>
      <w:color w:val="44546A" w:themeColor="text2"/>
      <w:sz w:val="48"/>
      <w:szCs w:val="32"/>
    </w:rPr>
  </w:style>
  <w:style w:type="character" w:customStyle="1" w:styleId="Heading2Char">
    <w:name w:val="Heading 2 Char"/>
    <w:basedOn w:val="DefaultParagraphFont"/>
    <w:link w:val="Heading2"/>
    <w:uiPriority w:val="9"/>
    <w:rsid w:val="00BC6189"/>
    <w:rPr>
      <w:rFonts w:eastAsiaTheme="majorEastAsia" w:cstheme="majorBidi"/>
      <w:b/>
      <w:color w:val="04616B" w:themeColor="accent2"/>
      <w:sz w:val="48"/>
      <w:szCs w:val="26"/>
    </w:rPr>
  </w:style>
  <w:style w:type="character" w:customStyle="1" w:styleId="Heading3Char">
    <w:name w:val="Heading 3 Char"/>
    <w:basedOn w:val="DefaultParagraphFont"/>
    <w:link w:val="Heading3"/>
    <w:uiPriority w:val="9"/>
    <w:rsid w:val="00BC6189"/>
    <w:rPr>
      <w:rFonts w:eastAsiaTheme="majorEastAsia" w:cstheme="majorBidi"/>
      <w:b/>
      <w:color w:val="2A194C"/>
      <w:sz w:val="36"/>
      <w:szCs w:val="24"/>
    </w:rPr>
  </w:style>
  <w:style w:type="character" w:customStyle="1" w:styleId="Heading4Char">
    <w:name w:val="Heading 4 Char"/>
    <w:basedOn w:val="DefaultParagraphFont"/>
    <w:link w:val="Heading4"/>
    <w:uiPriority w:val="9"/>
    <w:rsid w:val="005F7B73"/>
    <w:rPr>
      <w:rFonts w:eastAsiaTheme="majorEastAsia" w:cstheme="majorBidi"/>
      <w:b/>
      <w:iCs/>
      <w:color w:val="04616B"/>
      <w:sz w:val="36"/>
    </w:rPr>
  </w:style>
  <w:style w:type="character" w:customStyle="1" w:styleId="Heading5Char">
    <w:name w:val="Heading 5 Char"/>
    <w:basedOn w:val="DefaultParagraphFont"/>
    <w:link w:val="Heading5"/>
    <w:uiPriority w:val="9"/>
    <w:rsid w:val="005F7B73"/>
    <w:rPr>
      <w:rFonts w:eastAsiaTheme="majorEastAsia" w:cstheme="majorBidi"/>
      <w:b/>
      <w:color w:val="2A194C"/>
      <w:sz w:val="32"/>
    </w:rPr>
  </w:style>
  <w:style w:type="character" w:customStyle="1" w:styleId="Heading6Char">
    <w:name w:val="Heading 6 Char"/>
    <w:basedOn w:val="DefaultParagraphFont"/>
    <w:link w:val="Heading6"/>
    <w:uiPriority w:val="9"/>
    <w:rsid w:val="005F7B73"/>
    <w:rPr>
      <w:rFonts w:eastAsiaTheme="majorEastAsia" w:cstheme="majorBidi"/>
      <w:b/>
      <w:color w:val="04616B"/>
      <w:sz w:val="32"/>
    </w:rPr>
  </w:style>
  <w:style w:type="character" w:customStyle="1" w:styleId="Heading7Char">
    <w:name w:val="Heading 7 Char"/>
    <w:basedOn w:val="DefaultParagraphFont"/>
    <w:link w:val="Heading7"/>
    <w:uiPriority w:val="9"/>
    <w:rsid w:val="005F7B73"/>
    <w:rPr>
      <w:rFonts w:eastAsiaTheme="majorEastAsia" w:cstheme="majorBidi"/>
      <w:b/>
      <w:iCs/>
      <w:color w:val="2A194C"/>
      <w:sz w:val="28"/>
    </w:rPr>
  </w:style>
  <w:style w:type="character" w:customStyle="1" w:styleId="Heading8Char">
    <w:name w:val="Heading 8 Char"/>
    <w:basedOn w:val="DefaultParagraphFont"/>
    <w:link w:val="Heading8"/>
    <w:uiPriority w:val="9"/>
    <w:rsid w:val="005F7B73"/>
    <w:rPr>
      <w:rFonts w:eastAsiaTheme="majorEastAsia" w:cstheme="majorBidi"/>
      <w:b/>
      <w:color w:val="04616B"/>
      <w:sz w:val="28"/>
      <w:szCs w:val="21"/>
    </w:rPr>
  </w:style>
  <w:style w:type="character" w:customStyle="1" w:styleId="Heading9Char">
    <w:name w:val="Heading 9 Char"/>
    <w:basedOn w:val="DefaultParagraphFont"/>
    <w:link w:val="Heading9"/>
    <w:uiPriority w:val="9"/>
    <w:rsid w:val="005F7B73"/>
    <w:rPr>
      <w:rFonts w:eastAsiaTheme="majorEastAsia" w:cstheme="majorBidi"/>
      <w:b/>
      <w:iCs/>
      <w:color w:val="04616B"/>
      <w:sz w:val="24"/>
      <w:szCs w:val="21"/>
    </w:rPr>
  </w:style>
  <w:style w:type="character" w:styleId="Hyperlink">
    <w:name w:val="Hyperlink"/>
    <w:basedOn w:val="DefaultParagraphFont"/>
    <w:uiPriority w:val="99"/>
    <w:unhideWhenUsed/>
    <w:rsid w:val="004D3D19"/>
    <w:rPr>
      <w:color w:val="04616B" w:themeColor="hyperlink"/>
      <w:u w:val="single"/>
    </w:rPr>
  </w:style>
  <w:style w:type="character" w:styleId="UnresolvedMention">
    <w:name w:val="Unresolved Mention"/>
    <w:basedOn w:val="DefaultParagraphFont"/>
    <w:uiPriority w:val="99"/>
    <w:semiHidden/>
    <w:unhideWhenUsed/>
    <w:locked/>
    <w:rsid w:val="004D3D19"/>
    <w:rPr>
      <w:color w:val="605E5C"/>
      <w:shd w:val="clear" w:color="auto" w:fill="E1DFDD"/>
    </w:rPr>
  </w:style>
  <w:style w:type="paragraph" w:styleId="ListParagraph">
    <w:name w:val="List Paragraph"/>
    <w:basedOn w:val="Normal"/>
    <w:uiPriority w:val="34"/>
    <w:qFormat/>
    <w:rsid w:val="004D3D19"/>
    <w:pPr>
      <w:ind w:left="720"/>
      <w:contextualSpacing/>
    </w:pPr>
  </w:style>
  <w:style w:type="paragraph" w:styleId="TOC1">
    <w:name w:val="toc 1"/>
    <w:basedOn w:val="Normal"/>
    <w:next w:val="Normal"/>
    <w:autoRedefine/>
    <w:uiPriority w:val="39"/>
    <w:unhideWhenUsed/>
    <w:rsid w:val="00D47896"/>
    <w:pPr>
      <w:tabs>
        <w:tab w:val="right" w:leader="underscore" w:pos="9742"/>
      </w:tabs>
      <w:spacing w:after="120"/>
    </w:pPr>
    <w:rPr>
      <w:rFonts w:cs="Arial"/>
      <w:bCs/>
      <w:noProof/>
      <w:lang w:val="en-US"/>
    </w:rPr>
  </w:style>
  <w:style w:type="paragraph" w:styleId="TOC2">
    <w:name w:val="toc 2"/>
    <w:basedOn w:val="TOC1"/>
    <w:next w:val="Normal"/>
    <w:autoRedefine/>
    <w:uiPriority w:val="39"/>
    <w:unhideWhenUsed/>
    <w:rsid w:val="00BC6189"/>
    <w:pPr>
      <w:ind w:left="113"/>
    </w:pPr>
  </w:style>
  <w:style w:type="paragraph" w:styleId="TOC3">
    <w:name w:val="toc 3"/>
    <w:basedOn w:val="TOC2"/>
    <w:next w:val="Normal"/>
    <w:autoRedefine/>
    <w:uiPriority w:val="39"/>
    <w:unhideWhenUsed/>
    <w:rsid w:val="00BC6189"/>
    <w:pPr>
      <w:ind w:left="227"/>
    </w:pPr>
  </w:style>
  <w:style w:type="paragraph" w:styleId="TOC4">
    <w:name w:val="toc 4"/>
    <w:basedOn w:val="TOC3"/>
    <w:next w:val="Normal"/>
    <w:autoRedefine/>
    <w:uiPriority w:val="39"/>
    <w:unhideWhenUsed/>
    <w:rsid w:val="00BC6189"/>
    <w:pPr>
      <w:ind w:left="340"/>
    </w:pPr>
  </w:style>
  <w:style w:type="paragraph" w:styleId="TOC5">
    <w:name w:val="toc 5"/>
    <w:basedOn w:val="TOC4"/>
    <w:next w:val="Normal"/>
    <w:autoRedefine/>
    <w:uiPriority w:val="39"/>
    <w:unhideWhenUsed/>
    <w:rsid w:val="00BC6189"/>
    <w:pPr>
      <w:ind w:left="454"/>
    </w:pPr>
  </w:style>
  <w:style w:type="paragraph" w:styleId="TOC6">
    <w:name w:val="toc 6"/>
    <w:basedOn w:val="TOC5"/>
    <w:next w:val="Normal"/>
    <w:autoRedefine/>
    <w:uiPriority w:val="39"/>
    <w:unhideWhenUsed/>
    <w:rsid w:val="002446CE"/>
  </w:style>
  <w:style w:type="paragraph" w:styleId="TOC7">
    <w:name w:val="toc 7"/>
    <w:basedOn w:val="TOC6"/>
    <w:next w:val="Normal"/>
    <w:autoRedefine/>
    <w:uiPriority w:val="39"/>
    <w:unhideWhenUsed/>
    <w:rsid w:val="002446CE"/>
  </w:style>
  <w:style w:type="paragraph" w:styleId="TOC8">
    <w:name w:val="toc 8"/>
    <w:basedOn w:val="TOC7"/>
    <w:next w:val="Normal"/>
    <w:autoRedefine/>
    <w:uiPriority w:val="39"/>
    <w:unhideWhenUsed/>
    <w:rsid w:val="002446CE"/>
  </w:style>
  <w:style w:type="paragraph" w:styleId="TOC9">
    <w:name w:val="toc 9"/>
    <w:basedOn w:val="TOC8"/>
    <w:next w:val="Normal"/>
    <w:autoRedefine/>
    <w:uiPriority w:val="39"/>
    <w:unhideWhenUsed/>
    <w:rsid w:val="002446CE"/>
  </w:style>
  <w:style w:type="paragraph" w:styleId="TOCHeading">
    <w:name w:val="TOC Heading"/>
    <w:basedOn w:val="Heading1"/>
    <w:next w:val="Normal"/>
    <w:uiPriority w:val="39"/>
    <w:unhideWhenUsed/>
    <w:qFormat/>
    <w:rsid w:val="006A2176"/>
    <w:pPr>
      <w:spacing w:after="240"/>
      <w:outlineLvl w:val="9"/>
    </w:pPr>
    <w:rPr>
      <w:kern w:val="0"/>
      <w:sz w:val="36"/>
      <w:lang w:val="en-US"/>
      <w14:ligatures w14:val="none"/>
    </w:rPr>
  </w:style>
  <w:style w:type="table" w:styleId="TableGrid">
    <w:name w:val="Table Grid"/>
    <w:basedOn w:val="TableNormal"/>
    <w:uiPriority w:val="39"/>
    <w:locked/>
    <w:rsid w:val="00BC6189"/>
    <w:pPr>
      <w:spacing w:after="0" w:line="240" w:lineRule="auto"/>
    </w:pPr>
    <w:rPr>
      <w:color w:val="auto"/>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shd w:val="clear" w:color="auto" w:fill="6ECDB1" w:themeFill="accent1"/>
      </w:tcPr>
    </w:tblStylePr>
    <w:tblStylePr w:type="band1Horz">
      <w:tblPr/>
      <w:tcPr>
        <w:shd w:val="clear" w:color="auto" w:fill="F2F2F2" w:themeFill="background1" w:themeFillShade="F2"/>
      </w:tcPr>
    </w:tblStylePr>
  </w:style>
  <w:style w:type="table" w:styleId="ListTable3-Accent2">
    <w:name w:val="List Table 3 Accent 2"/>
    <w:basedOn w:val="TableNormal"/>
    <w:uiPriority w:val="48"/>
    <w:locked/>
    <w:rsid w:val="002120D0"/>
    <w:pPr>
      <w:spacing w:after="0" w:line="240" w:lineRule="auto"/>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
    <w:tblStylePr w:type="firstRow">
      <w:rPr>
        <w:rFonts w:ascii="Arial" w:hAnsi="Arial"/>
        <w:b w:val="0"/>
        <w:bCs/>
        <w:color w:val="FFFFFF" w:themeColor="background1"/>
        <w:sz w:val="24"/>
      </w:rPr>
      <w:tblPr/>
      <w:tcPr>
        <w:shd w:val="clear" w:color="auto" w:fill="2A194C" w:themeFill="accent5"/>
      </w:tcPr>
    </w:tblStylePr>
    <w:tblStylePr w:type="lastRow">
      <w:rPr>
        <w:b w:val="0"/>
        <w:bCs/>
        <w:color w:val="FFFFFF" w:themeColor="background1"/>
        <w:sz w:val="24"/>
      </w:rPr>
      <w:tblPr/>
      <w:tcPr>
        <w:shd w:val="clear" w:color="auto" w:fill="2A194C" w:themeFill="accent5"/>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16B" w:themeColor="accent2"/>
          <w:right w:val="single" w:sz="4" w:space="0" w:color="04616B" w:themeColor="accent2"/>
        </w:tcBorders>
      </w:tcPr>
    </w:tblStylePr>
    <w:tblStylePr w:type="band1Horz">
      <w:tblPr/>
      <w:tcPr>
        <w:shd w:val="clear" w:color="auto" w:fill="EBF5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16B" w:themeColor="accent2"/>
          <w:left w:val="nil"/>
        </w:tcBorders>
      </w:tcPr>
    </w:tblStylePr>
    <w:tblStylePr w:type="swCell">
      <w:tblPr/>
      <w:tcPr>
        <w:tcBorders>
          <w:top w:val="double" w:sz="4" w:space="0" w:color="04616B" w:themeColor="accent2"/>
          <w:right w:val="nil"/>
        </w:tcBorders>
      </w:tcPr>
    </w:tblStylePr>
  </w:style>
  <w:style w:type="table" w:styleId="TableGridLight">
    <w:name w:val="Grid Table Light"/>
    <w:basedOn w:val="TableNormal"/>
    <w:uiPriority w:val="40"/>
    <w:locked/>
    <w:rsid w:val="00B66E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120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USMASATableStyle1">
    <w:name w:val="AUSMASA Table Style 1"/>
    <w:basedOn w:val="TableNormal"/>
    <w:uiPriority w:val="99"/>
    <w:rsid w:val="00BC6189"/>
    <w:pPr>
      <w:spacing w:after="0" w:line="240" w:lineRule="auto"/>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rial" w:hAnsi="Arial"/>
        <w:color w:val="FFFFFF" w:themeColor="background1"/>
        <w:sz w:val="24"/>
      </w:rPr>
      <w:tblPr/>
      <w:tcPr>
        <w:shd w:val="clear" w:color="auto" w:fill="2A194C" w:themeFill="accent5"/>
      </w:tcPr>
    </w:tblStylePr>
    <w:tblStylePr w:type="band1Horz">
      <w:tblPr/>
      <w:tcPr>
        <w:shd w:val="clear" w:color="auto" w:fill="F2F2F2" w:themeFill="background1" w:themeFillShade="F2"/>
      </w:tcPr>
    </w:tblStylePr>
  </w:style>
  <w:style w:type="table" w:customStyle="1" w:styleId="AUSMASATableStyle3">
    <w:name w:val="AUSMASA Table Style 3"/>
    <w:basedOn w:val="TableNormal"/>
    <w:uiPriority w:val="99"/>
    <w:rsid w:val="00BC6189"/>
    <w:pPr>
      <w:spacing w:after="0" w:line="240" w:lineRule="auto"/>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shd w:val="clear" w:color="auto" w:fill="D9ECE7" w:themeFill="accent4"/>
      </w:tcPr>
    </w:tblStylePr>
    <w:tblStylePr w:type="band1Horz">
      <w:rPr>
        <w:rFonts w:ascii="Arial" w:hAnsi="Arial"/>
      </w:rPr>
      <w:tblPr/>
      <w:tcPr>
        <w:shd w:val="clear" w:color="auto" w:fill="F2F2F2" w:themeFill="background1" w:themeFillShade="F2"/>
      </w:tcPr>
    </w:tblStylePr>
  </w:style>
  <w:style w:type="paragraph" w:styleId="Header">
    <w:name w:val="header"/>
    <w:basedOn w:val="Normal"/>
    <w:link w:val="HeaderChar"/>
    <w:uiPriority w:val="99"/>
    <w:unhideWhenUsed/>
    <w:rsid w:val="00623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D99"/>
  </w:style>
  <w:style w:type="paragraph" w:styleId="Footer">
    <w:name w:val="footer"/>
    <w:basedOn w:val="Normal"/>
    <w:link w:val="FooterChar"/>
    <w:uiPriority w:val="99"/>
    <w:unhideWhenUsed/>
    <w:rsid w:val="00BB5014"/>
    <w:pPr>
      <w:tabs>
        <w:tab w:val="center" w:pos="4513"/>
        <w:tab w:val="right" w:pos="9026"/>
      </w:tabs>
      <w:spacing w:after="0" w:line="240" w:lineRule="auto"/>
    </w:pPr>
    <w:rPr>
      <w:color w:val="808080" w:themeColor="background1" w:themeShade="80"/>
      <w:sz w:val="16"/>
    </w:rPr>
  </w:style>
  <w:style w:type="character" w:customStyle="1" w:styleId="FooterChar">
    <w:name w:val="Footer Char"/>
    <w:basedOn w:val="DefaultParagraphFont"/>
    <w:link w:val="Footer"/>
    <w:uiPriority w:val="99"/>
    <w:rsid w:val="00BB5014"/>
    <w:rPr>
      <w:color w:val="808080" w:themeColor="background1" w:themeShade="80"/>
      <w:sz w:val="16"/>
    </w:rPr>
  </w:style>
  <w:style w:type="paragraph" w:styleId="FootnoteText">
    <w:name w:val="footnote text"/>
    <w:basedOn w:val="Normal"/>
    <w:link w:val="FootnoteTextChar"/>
    <w:uiPriority w:val="99"/>
    <w:semiHidden/>
    <w:unhideWhenUsed/>
    <w:rsid w:val="004A31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160"/>
    <w:rPr>
      <w:sz w:val="20"/>
      <w:szCs w:val="20"/>
    </w:rPr>
  </w:style>
  <w:style w:type="character" w:styleId="FootnoteReference">
    <w:name w:val="footnote reference"/>
    <w:basedOn w:val="DefaultParagraphFont"/>
    <w:uiPriority w:val="99"/>
    <w:semiHidden/>
    <w:unhideWhenUsed/>
    <w:rsid w:val="004A3160"/>
    <w:rPr>
      <w:vertAlign w:val="superscript"/>
    </w:rPr>
  </w:style>
  <w:style w:type="paragraph" w:customStyle="1" w:styleId="FootNote">
    <w:name w:val="FootNote"/>
    <w:basedOn w:val="FootnoteText"/>
    <w:link w:val="FootNoteChar"/>
    <w:qFormat/>
    <w:rsid w:val="0066213A"/>
    <w:rPr>
      <w:color w:val="808080" w:themeColor="background1" w:themeShade="80"/>
      <w:sz w:val="18"/>
      <w:lang w:val="en-US"/>
    </w:rPr>
  </w:style>
  <w:style w:type="character" w:customStyle="1" w:styleId="FootNoteChar">
    <w:name w:val="FootNote Char"/>
    <w:basedOn w:val="FootnoteTextChar"/>
    <w:link w:val="FootNote"/>
    <w:rsid w:val="0066213A"/>
    <w:rPr>
      <w:color w:val="808080" w:themeColor="background1" w:themeShade="80"/>
      <w:sz w:val="18"/>
      <w:szCs w:val="20"/>
      <w:lang w:val="en-US"/>
    </w:rPr>
  </w:style>
  <w:style w:type="paragraph" w:customStyle="1" w:styleId="Notation">
    <w:name w:val="Notation"/>
    <w:basedOn w:val="Normal"/>
    <w:link w:val="NotationChar"/>
    <w:qFormat/>
    <w:rsid w:val="009843E1"/>
    <w:rPr>
      <w:i/>
      <w:color w:val="808080" w:themeColor="background1" w:themeShade="80"/>
      <w:sz w:val="14"/>
      <w:lang w:val="en-US"/>
    </w:rPr>
  </w:style>
  <w:style w:type="character" w:customStyle="1" w:styleId="NotationChar">
    <w:name w:val="Notation Char"/>
    <w:basedOn w:val="DefaultParagraphFont"/>
    <w:link w:val="Notation"/>
    <w:rsid w:val="009843E1"/>
    <w:rPr>
      <w:i/>
      <w:color w:val="808080" w:themeColor="background1" w:themeShade="80"/>
      <w:sz w:val="14"/>
      <w:lang w:val="en-US"/>
    </w:rPr>
  </w:style>
  <w:style w:type="table" w:customStyle="1" w:styleId="AUSMASATableStyle2">
    <w:name w:val="AUSMASA Table Style 2"/>
    <w:basedOn w:val="TableNormal"/>
    <w:uiPriority w:val="99"/>
    <w:rsid w:val="00BC6189"/>
    <w:pPr>
      <w:spacing w:after="0" w:line="240" w:lineRule="auto"/>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color w:val="2A194C" w:themeColor="accent5"/>
        <w:sz w:val="24"/>
      </w:rPr>
      <w:tblPr/>
      <w:tcPr>
        <w:shd w:val="clear" w:color="auto" w:fill="6ECDB1" w:themeFill="accent1"/>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BB1C52"/>
    <w:pPr>
      <w:spacing w:after="0" w:line="240" w:lineRule="auto"/>
    </w:pPr>
    <w:rPr>
      <w:rFonts w:asciiTheme="minorHAnsi" w:eastAsiaTheme="minorEastAsia" w:hAnsiTheme="minorHAnsi"/>
      <w:color w:val="auto"/>
      <w:kern w:val="0"/>
      <w:lang w:val="en-US"/>
      <w14:ligatures w14:val="none"/>
    </w:rPr>
  </w:style>
  <w:style w:type="character" w:customStyle="1" w:styleId="NoSpacingChar">
    <w:name w:val="No Spacing Char"/>
    <w:basedOn w:val="DefaultParagraphFont"/>
    <w:link w:val="NoSpacing"/>
    <w:uiPriority w:val="1"/>
    <w:rsid w:val="00BB1C52"/>
    <w:rPr>
      <w:rFonts w:asciiTheme="minorHAnsi" w:eastAsiaTheme="minorEastAsia" w:hAnsiTheme="minorHAnsi"/>
      <w:color w:val="auto"/>
      <w:kern w:val="0"/>
      <w:lang w:val="en-US"/>
      <w14:ligatures w14:val="none"/>
    </w:rPr>
  </w:style>
  <w:style w:type="paragraph" w:styleId="Title">
    <w:name w:val="Title"/>
    <w:basedOn w:val="Normal"/>
    <w:next w:val="Normal"/>
    <w:link w:val="TitleChar"/>
    <w:uiPriority w:val="10"/>
    <w:qFormat/>
    <w:rsid w:val="003A726B"/>
    <w:pPr>
      <w:spacing w:after="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3A726B"/>
    <w:rPr>
      <w:rFonts w:eastAsiaTheme="majorEastAsia" w:cstheme="majorBidi"/>
      <w:b/>
      <w:color w:val="FFFFFF" w:themeColor="background1"/>
      <w:spacing w:val="-10"/>
      <w:kern w:val="28"/>
      <w:sz w:val="72"/>
      <w:szCs w:val="56"/>
    </w:rPr>
  </w:style>
  <w:style w:type="paragraph" w:customStyle="1" w:styleId="Subtitle1">
    <w:name w:val="Subtitle 1"/>
    <w:basedOn w:val="Normal"/>
    <w:qFormat/>
    <w:rsid w:val="00085767"/>
    <w:rPr>
      <w:color w:val="FFFFFF" w:themeColor="background1"/>
      <w:sz w:val="52"/>
    </w:rPr>
  </w:style>
  <w:style w:type="paragraph" w:customStyle="1" w:styleId="Subtitle2">
    <w:name w:val="Subtitle 2"/>
    <w:basedOn w:val="Normal"/>
    <w:qFormat/>
    <w:rsid w:val="00085767"/>
    <w:rPr>
      <w:color w:val="FFFFFF" w:themeColor="background1"/>
      <w:sz w:val="32"/>
    </w:rPr>
  </w:style>
  <w:style w:type="paragraph" w:customStyle="1" w:styleId="Quote-GreenBG">
    <w:name w:val="Quote - Green BG"/>
    <w:basedOn w:val="Quote-DarkGreenBG"/>
    <w:qFormat/>
    <w:rsid w:val="00A8564F"/>
    <w:pPr>
      <w:shd w:val="clear" w:color="auto" w:fill="6ECDB1" w:themeFill="accent1"/>
    </w:pPr>
    <w:rPr>
      <w:color w:val="2A194C" w:themeColor="accent5"/>
    </w:rPr>
  </w:style>
  <w:style w:type="paragraph" w:customStyle="1" w:styleId="Quote-LightGreenBG">
    <w:name w:val="Quote - Light Green BG"/>
    <w:basedOn w:val="Quote-GreenBG"/>
    <w:qFormat/>
    <w:rsid w:val="00A8564F"/>
    <w:pPr>
      <w:shd w:val="clear" w:color="auto" w:fill="A3DDCC" w:themeFill="accent3"/>
    </w:pPr>
  </w:style>
  <w:style w:type="paragraph" w:customStyle="1" w:styleId="Quote-PurpleBG">
    <w:name w:val="Quote - Purple BG"/>
    <w:basedOn w:val="Normal"/>
    <w:qFormat/>
    <w:rsid w:val="007F1691"/>
    <w:pPr>
      <w:pBdr>
        <w:top w:val="single" w:sz="4" w:space="10" w:color="6ECDB1" w:themeColor="accent1"/>
        <w:bottom w:val="single" w:sz="4" w:space="10" w:color="6ECDB1" w:themeColor="accent1"/>
      </w:pBdr>
      <w:shd w:val="clear" w:color="auto" w:fill="2A194C" w:themeFill="accent5"/>
      <w:spacing w:before="480" w:after="480"/>
      <w:ind w:left="-1021" w:right="-1021"/>
      <w:jc w:val="center"/>
    </w:pPr>
    <w:rPr>
      <w:i/>
      <w:iCs/>
      <w:color w:val="FFFFFF" w:themeColor="background1"/>
    </w:rPr>
  </w:style>
  <w:style w:type="paragraph" w:customStyle="1" w:styleId="Quote-DarkGreenBG">
    <w:name w:val="Quote - Dark Green BG"/>
    <w:basedOn w:val="Normal"/>
    <w:qFormat/>
    <w:rsid w:val="00A8564F"/>
    <w:pPr>
      <w:pBdr>
        <w:top w:val="single" w:sz="4" w:space="10" w:color="6ECDB1" w:themeColor="accent1"/>
        <w:bottom w:val="single" w:sz="4" w:space="10" w:color="6ECDB1" w:themeColor="accent1"/>
      </w:pBdr>
      <w:shd w:val="clear" w:color="auto" w:fill="04616B" w:themeFill="accent2"/>
      <w:spacing w:before="360" w:after="360"/>
      <w:ind w:left="-1021" w:right="-1021"/>
      <w:jc w:val="center"/>
    </w:pPr>
    <w:rPr>
      <w:i/>
      <w:iCs/>
      <w:color w:val="6ECDB1" w:themeColor="accent1"/>
    </w:rPr>
  </w:style>
  <w:style w:type="paragraph" w:customStyle="1" w:styleId="EndFooterWhiteCentred">
    <w:name w:val="End Footer White (Centred)"/>
    <w:basedOn w:val="Normal"/>
    <w:link w:val="EndFooterWhiteCentredChar"/>
    <w:qFormat/>
    <w:rsid w:val="00710397"/>
    <w:pPr>
      <w:spacing w:line="240" w:lineRule="auto"/>
      <w:jc w:val="center"/>
    </w:pPr>
    <w:rPr>
      <w:color w:val="FFFFFF" w:themeColor="background1"/>
      <w:sz w:val="16"/>
      <w:lang w:val="en-US"/>
    </w:rPr>
  </w:style>
  <w:style w:type="character" w:customStyle="1" w:styleId="EndFooterWhiteCentredChar">
    <w:name w:val="End Footer White (Centred) Char"/>
    <w:basedOn w:val="DefaultParagraphFont"/>
    <w:link w:val="EndFooterWhiteCentred"/>
    <w:rsid w:val="00710397"/>
    <w:rPr>
      <w:color w:val="FFFFFF" w:themeColor="background1"/>
      <w:sz w:val="16"/>
      <w:lang w:val="en-US"/>
    </w:rPr>
  </w:style>
  <w:style w:type="table" w:styleId="GridTable1Light-Accent3">
    <w:name w:val="Grid Table 1 Light Accent 3"/>
    <w:basedOn w:val="TableNormal"/>
    <w:uiPriority w:val="46"/>
    <w:locked/>
    <w:rsid w:val="00BC6189"/>
    <w:pPr>
      <w:spacing w:after="0" w:line="240" w:lineRule="auto"/>
    </w:pPr>
    <w:tblPr>
      <w:tblStyleRowBandSize w:val="1"/>
      <w:tblStyleColBandSize w:val="1"/>
      <w:tblBorders>
        <w:top w:val="single" w:sz="4" w:space="0" w:color="DAF1EA" w:themeColor="accent3" w:themeTint="66"/>
        <w:left w:val="single" w:sz="4" w:space="0" w:color="DAF1EA" w:themeColor="accent3" w:themeTint="66"/>
        <w:bottom w:val="single" w:sz="4" w:space="0" w:color="DAF1EA" w:themeColor="accent3" w:themeTint="66"/>
        <w:right w:val="single" w:sz="4" w:space="0" w:color="DAF1EA" w:themeColor="accent3" w:themeTint="66"/>
        <w:insideH w:val="single" w:sz="4" w:space="0" w:color="DAF1EA" w:themeColor="accent3" w:themeTint="66"/>
        <w:insideV w:val="single" w:sz="4" w:space="0" w:color="DAF1EA" w:themeColor="accent3" w:themeTint="66"/>
      </w:tblBorders>
    </w:tblPr>
    <w:tblStylePr w:type="firstRow">
      <w:rPr>
        <w:b/>
        <w:bCs/>
      </w:rPr>
      <w:tblPr/>
      <w:tcPr>
        <w:tcBorders>
          <w:bottom w:val="single" w:sz="12" w:space="0" w:color="C7EAE0" w:themeColor="accent3" w:themeTint="99"/>
        </w:tcBorders>
      </w:tcPr>
    </w:tblStylePr>
    <w:tblStylePr w:type="lastRow">
      <w:rPr>
        <w:b/>
        <w:bCs/>
      </w:rPr>
      <w:tblPr/>
      <w:tcPr>
        <w:tcBorders>
          <w:top w:val="double" w:sz="2" w:space="0" w:color="C7EAE0"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123A4"/>
    <w:rPr>
      <w:color w:val="6ECDB1" w:themeColor="followedHyperlink"/>
      <w:u w:val="single"/>
    </w:rPr>
  </w:style>
  <w:style w:type="character" w:styleId="CommentReference">
    <w:name w:val="annotation reference"/>
    <w:basedOn w:val="DefaultParagraphFont"/>
    <w:uiPriority w:val="99"/>
    <w:semiHidden/>
    <w:unhideWhenUsed/>
    <w:locked/>
    <w:rsid w:val="00B45700"/>
    <w:rPr>
      <w:sz w:val="16"/>
      <w:szCs w:val="16"/>
    </w:rPr>
  </w:style>
  <w:style w:type="paragraph" w:styleId="CommentText">
    <w:name w:val="annotation text"/>
    <w:basedOn w:val="Normal"/>
    <w:link w:val="CommentTextChar"/>
    <w:uiPriority w:val="99"/>
    <w:unhideWhenUsed/>
    <w:locked/>
    <w:rsid w:val="00B45700"/>
    <w:pPr>
      <w:spacing w:line="240" w:lineRule="auto"/>
    </w:pPr>
    <w:rPr>
      <w:sz w:val="20"/>
      <w:szCs w:val="20"/>
    </w:rPr>
  </w:style>
  <w:style w:type="character" w:customStyle="1" w:styleId="CommentTextChar">
    <w:name w:val="Comment Text Char"/>
    <w:basedOn w:val="DefaultParagraphFont"/>
    <w:link w:val="CommentText"/>
    <w:uiPriority w:val="99"/>
    <w:rsid w:val="00B45700"/>
    <w:rPr>
      <w:sz w:val="20"/>
      <w:szCs w:val="20"/>
    </w:rPr>
  </w:style>
  <w:style w:type="paragraph" w:styleId="CommentSubject">
    <w:name w:val="annotation subject"/>
    <w:basedOn w:val="CommentText"/>
    <w:next w:val="CommentText"/>
    <w:link w:val="CommentSubjectChar"/>
    <w:uiPriority w:val="99"/>
    <w:semiHidden/>
    <w:unhideWhenUsed/>
    <w:locked/>
    <w:rsid w:val="00B45700"/>
    <w:rPr>
      <w:b/>
      <w:bCs/>
    </w:rPr>
  </w:style>
  <w:style w:type="character" w:customStyle="1" w:styleId="CommentSubjectChar">
    <w:name w:val="Comment Subject Char"/>
    <w:basedOn w:val="CommentTextChar"/>
    <w:link w:val="CommentSubject"/>
    <w:uiPriority w:val="99"/>
    <w:semiHidden/>
    <w:rsid w:val="00B45700"/>
    <w:rPr>
      <w:b/>
      <w:bCs/>
      <w:sz w:val="20"/>
      <w:szCs w:val="20"/>
    </w:rPr>
  </w:style>
  <w:style w:type="character" w:styleId="Mention">
    <w:name w:val="Mention"/>
    <w:basedOn w:val="DefaultParagraphFont"/>
    <w:uiPriority w:val="99"/>
    <w:unhideWhenUsed/>
    <w:rsid w:val="00450398"/>
    <w:rPr>
      <w:color w:val="2B579A"/>
      <w:shd w:val="clear" w:color="auto" w:fill="E1DFDD"/>
    </w:rPr>
  </w:style>
  <w:style w:type="paragraph" w:styleId="Revision">
    <w:name w:val="Revision"/>
    <w:hidden/>
    <w:uiPriority w:val="99"/>
    <w:semiHidden/>
    <w:rsid w:val="006B3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masa.org.au/projects/projects-in-progress/vocational-degree-phase-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mesa.sharepoint.com/sites/AUSMESA/Shared%20Documents/General/09.%20Training%20&amp;%20Workforce%20Innovation/01.%20AAS/AAS-017%20Voc.%20Degree%20&amp;%20Higher%20Apprenticeships_Phase%202/Presentations%20&amp;%20Media/Info%20session%20-%20Jan%2026/Archiv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mesa.sharepoint.com/sites/Templates/Shared%20Documents/Standard%20Document%20A4%20Portrait.dotx" TargetMode="External"/></Relationships>
</file>

<file path=word/theme/theme1.xml><?xml version="1.0" encoding="utf-8"?>
<a:theme xmlns:a="http://schemas.openxmlformats.org/drawingml/2006/main" name="Office Theme">
  <a:themeElements>
    <a:clrScheme name="AUSMASA Styles">
      <a:dk1>
        <a:sysClr val="windowText" lastClr="000000"/>
      </a:dk1>
      <a:lt1>
        <a:sysClr val="window" lastClr="FFFFFF"/>
      </a:lt1>
      <a:dk2>
        <a:srgbClr val="44546A"/>
      </a:dk2>
      <a:lt2>
        <a:srgbClr val="D9ECE7"/>
      </a:lt2>
      <a:accent1>
        <a:srgbClr val="6ECDB1"/>
      </a:accent1>
      <a:accent2>
        <a:srgbClr val="04616B"/>
      </a:accent2>
      <a:accent3>
        <a:srgbClr val="A3DDCC"/>
      </a:accent3>
      <a:accent4>
        <a:srgbClr val="D9ECE7"/>
      </a:accent4>
      <a:accent5>
        <a:srgbClr val="2A194C"/>
      </a:accent5>
      <a:accent6>
        <a:srgbClr val="C7F381"/>
      </a:accent6>
      <a:hlink>
        <a:srgbClr val="04616B"/>
      </a:hlink>
      <a:folHlink>
        <a:srgbClr val="6ECDB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Status xmlns="87b1edde-b6ca-4570-a094-77e9e1322994" xsi:nil="true"/>
    <QACheck xmlns="87b1edde-b6ca-4570-a094-77e9e1322994">
      <Value>New Addition</Value>
    </QACheck>
    <Comment xmlns="87b1edde-b6ca-4570-a094-77e9e1322994" xsi:nil="true"/>
    <TaxCatchAll xmlns="47077ea8-ce18-4a34-8b26-56895e5db05c" xsi:nil="true"/>
    <lcf76f155ced4ddcb4097134ff3c332f xmlns="87b1edde-b6ca-4570-a094-77e9e1322994">
      <Terms xmlns="http://schemas.microsoft.com/office/infopath/2007/PartnerControls"/>
    </lcf76f155ced4ddcb4097134ff3c332f>
    <Staff xmlns="87b1edde-b6ca-4570-a094-77e9e1322994">
      <UserInfo>
        <DisplayName/>
        <AccountId xsi:nil="true"/>
        <AccountType/>
      </UserInfo>
    </Staf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146D49CC6E0E4497ED8446CAA83E5C" ma:contentTypeVersion="34" ma:contentTypeDescription="Create a new document." ma:contentTypeScope="" ma:versionID="c567c5fe2b679cb6726e3d55a7f555df">
  <xsd:schema xmlns:xsd="http://www.w3.org/2001/XMLSchema" xmlns:xs="http://www.w3.org/2001/XMLSchema" xmlns:p="http://schemas.microsoft.com/office/2006/metadata/properties" xmlns:ns2="87b1edde-b6ca-4570-a094-77e9e1322994" xmlns:ns3="47077ea8-ce18-4a34-8b26-56895e5db05c" targetNamespace="http://schemas.microsoft.com/office/2006/metadata/properties" ma:root="true" ma:fieldsID="d8c6d19aba2ebbf3555a5e9939758663" ns2:_="" ns3:_="">
    <xsd:import namespace="87b1edde-b6ca-4570-a094-77e9e1322994"/>
    <xsd:import namespace="47077ea8-ce18-4a34-8b26-56895e5db0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ocStatus" minOccurs="0"/>
                <xsd:element ref="ns2:Staff" minOccurs="0"/>
                <xsd:element ref="ns2:QACheck"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1edde-b6ca-4570-a094-77e9e1322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ea349-92a1-4d03-934f-01dfd14a7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Status" ma:index="26" nillable="true" ma:displayName="Doc Status" ma:format="Dropdown" ma:internalName="DocStatus">
      <xsd:simpleType>
        <xsd:restriction base="dms:Choice">
          <xsd:enumeration value="Archive"/>
          <xsd:enumeration value="Active"/>
          <xsd:enumeration value="Draft"/>
        </xsd:restriction>
      </xsd:simpleType>
    </xsd:element>
    <xsd:element name="Staff" ma:index="27" nillable="true" ma:displayName="Staff" ma:format="Dropdown" ma:list="UserInfo" ma:SharePointGroup="0" ma:internalName="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Check" ma:index="28" nillable="true" ma:displayName="QA Check" ma:default="New Addition" ma:format="Dropdown" ma:internalName="QACheck">
      <xsd:complexType>
        <xsd:complexContent>
          <xsd:extension base="dms:MultiChoiceFillIn">
            <xsd:sequence>
              <xsd:element name="Value" maxOccurs="unbounded" minOccurs="0" nillable="true">
                <xsd:simpleType>
                  <xsd:union memberTypes="dms:Text">
                    <xsd:simpleType>
                      <xsd:restriction base="dms:Choice">
                        <xsd:enumeration value="New Addition"/>
                        <xsd:enumeration value="Errors"/>
                        <xsd:enumeration value="In progress"/>
                        <xsd:enumeration value="Complete"/>
                      </xsd:restriction>
                    </xsd:simpleType>
                  </xsd:union>
                </xsd:simpleType>
              </xsd:element>
            </xsd:sequence>
          </xsd:extension>
        </xsd:complexContent>
      </xsd:complexType>
    </xsd:element>
    <xsd:element name="Comment" ma:index="29" nillable="true" ma:displayName="Comment" ma:description="Allow comments for all to see"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77ea8-ce18-4a34-8b26-56895e5db0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6f0d91-b2ab-483f-9e73-19d2b5d8557e}" ma:internalName="TaxCatchAll" ma:showField="CatchAllData" ma:web="47077ea8-ce18-4a34-8b26-56895e5db0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6DEAB-3D86-46E4-B256-164BB0BCE13B}">
  <ds:schemaRefs>
    <ds:schemaRef ds:uri="http://schemas.microsoft.com/office/2006/metadata/properties"/>
    <ds:schemaRef ds:uri="http://schemas.microsoft.com/office/infopath/2007/PartnerControls"/>
    <ds:schemaRef ds:uri="87b1edde-b6ca-4570-a094-77e9e1322994"/>
    <ds:schemaRef ds:uri="47077ea8-ce18-4a34-8b26-56895e5db05c"/>
  </ds:schemaRefs>
</ds:datastoreItem>
</file>

<file path=customXml/itemProps2.xml><?xml version="1.0" encoding="utf-8"?>
<ds:datastoreItem xmlns:ds="http://schemas.openxmlformats.org/officeDocument/2006/customXml" ds:itemID="{72F4F6A9-F50E-4B8A-8E86-51F8E6EE3A7B}">
  <ds:schemaRefs>
    <ds:schemaRef ds:uri="http://schemas.openxmlformats.org/officeDocument/2006/bibliography"/>
  </ds:schemaRefs>
</ds:datastoreItem>
</file>

<file path=customXml/itemProps3.xml><?xml version="1.0" encoding="utf-8"?>
<ds:datastoreItem xmlns:ds="http://schemas.openxmlformats.org/officeDocument/2006/customXml" ds:itemID="{6C31E00F-7C01-4564-8E8F-3B586A313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1edde-b6ca-4570-a094-77e9e1322994"/>
    <ds:schemaRef ds:uri="47077ea8-ce18-4a34-8b26-56895e5db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51A6E-1BE5-44E6-97C1-9EFF1E257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Standard%20Document%20A4%20Portrait</Template>
  <TotalTime>36</TotalTime>
  <Pages>5</Pages>
  <Words>1600</Words>
  <Characters>9077</Characters>
  <Application>Microsoft Office Word</Application>
  <DocSecurity>0</DocSecurity>
  <Lines>146</Lines>
  <Paragraphs>63</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Cooper</dc:creator>
  <cp:keywords/>
  <dc:description/>
  <cp:lastModifiedBy>Amelia Cooper</cp:lastModifiedBy>
  <cp:revision>124</cp:revision>
  <dcterms:created xsi:type="dcterms:W3CDTF">2025-11-28T13:01:00Z</dcterms:created>
  <dcterms:modified xsi:type="dcterms:W3CDTF">2026-03-13T00:38:00Z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8c472d1d-0b03-4ab7-8649-4b1f0e8ae18b</vt:lpwstr>
  </property>
  <property fmtid="{D5CDD505-2E9C-101B-9397-08002B2CF9AE}" pid="3" name="ContentTypeId">
    <vt:lpwstr>0x010100FE146D49CC6E0E4497ED8446CAA83E5C</vt:lpwstr>
  </property>
  <property fmtid="{D5CDD505-2E9C-101B-9397-08002B2CF9AE}" pid="4" name="DocumentStatus0">
    <vt:lpwstr>Not Yet Started</vt:lpwstr>
  </property>
  <property fmtid="{D5CDD505-2E9C-101B-9397-08002B2CF9AE}" pid="5" name="MediaServiceImageTags">
    <vt:lpwstr/>
  </property>
  <property fmtid="{D5CDD505-2E9C-101B-9397-08002B2CF9AE}" pid="6" name="DocumentStatus">
    <vt:lpwstr>;#Not Yet Started;#</vt:lpwstr>
  </property>
</Properties>
</file>